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Objekttermin Dachanlage und Tiefgarage Ebersstraße 84</w:t>
      </w:r>
    </w:p>
    <w:p>
      <w:pPr>
        <w:jc w:val="left"/>
      </w:pPr>
      <w:r>
        <w:t>Hofbogen Immobilienverwaltung GmbH | Hauptstraße 118 | 10827 Berlin</w:t>
      </w:r>
    </w:p>
    <w:p>
      <w:pPr>
        <w:jc w:val="left"/>
      </w:pPr>
      <w:r>
        <w:t>Objektbetreuung: Lea Wendt | lea.wendt@hofbogen-verwaltung.de</w:t>
      </w:r>
    </w:p>
    <w:p>
      <w:pPr>
        <w:jc w:val="left"/>
      </w:pPr>
      <w:r>
        <w:t>An die Gemeinschaft der Wohnungseigentümer Ebersstraße 84, 10827 Berlin-Schöneberg</w:t>
      </w:r>
    </w:p>
    <w:p>
      <w:pPr>
        <w:jc w:val="left"/>
      </w:pPr>
      <w:r>
        <w:t>Verteiler: Beirat Jens Rabe, Ebersstraße 84, Wohnung 03; Katrin Schütte, Ruhlsdorfer Straße 28, 14513 Teltow</w:t>
      </w:r>
    </w:p>
    <w:p>
      <w:pPr>
        <w:jc w:val="left"/>
      </w:pPr>
      <w:r>
        <w:t>Berlin, 20. Januar 2026 | Begehung am 19. Januar 2026, 10:00 bis 10:45 Uhr</w:t>
      </w:r>
    </w:p>
    <w:p>
      <w:pPr>
        <w:jc w:val="left"/>
      </w:pPr>
      <w:r>
        <w:t>Teilgenommen haben Lea Wendt für Hofbogen, Jens Rabe für den Beirat und Tom Albrecht für den Hausdienst.</w:t>
      </w:r>
    </w:p>
    <w:p>
      <w:pPr>
        <w:pStyle w:val="Heading2"/>
      </w:pPr>
      <w:r>
        <w:rPr>
          <w:rFonts w:ascii="Times New Roman" w:hAnsi="Times New Roman"/>
        </w:rPr>
        <w:t>1 Dachphotovoltaik</w:t>
      </w:r>
    </w:p>
    <w:p>
      <w:pPr>
        <w:jc w:val="left"/>
      </w:pPr>
      <w:r>
        <w:t>Die seit 2024 betriebene Dachphotovoltaikanlage hat eine installierte Leistung von 18 kWp. Betreiberin ist die Gemeinschaft der Wohnungseigentümer. Die erzeugte Energie wird über den eigenen Einspeisezähler in das öffentliche Netz abgegeben. Es besteht kein Mieterstromvertrag für das Haus; die Haushaltsstromverträge der zwölf Wohnungen wurden wegen der Dachanlage nicht umgestellt.</w:t>
      </w:r>
    </w:p>
    <w:p>
      <w:pPr>
        <w:jc w:val="left"/>
      </w:pPr>
      <w:r>
        <w:t>Die bei der Begehung zugänglichen Leitungswege und die Beschriftung am Zählerplatz wurden angesehen. Es wurden keine Arbeiten an Modulen oder Wechselrichter ausgeführt. Die Hausbeleuchtung und die Hilfsenergie der Ölheizung werden weiterhin über die dafür vorhandenen Bezugsanschlüsse versorgt. Eine Verbindung, durch die die Dachanlage unmittelbar Strom in einzelne Mietwohnungen liefert, wurde nicht eingerichtet.</w:t>
      </w:r>
    </w:p>
    <w:p>
      <w:pPr>
        <w:jc w:val="left"/>
      </w:pPr>
      <w:r>
        <w:t>Die laufenden Betreiberunterlagen und die Einspeiseabrechnungen werden im PV-Vorgang der Gemeinschaft geführt. Für Wohnung 07 liegt weder eine Beitrittserklärung zu einem Stromprodukt noch ein Liefervertrag vor. Frau Schütte erklärte im Vorfeld, dass sie auch gegenüber den Seidels keinen solchen Vertrag angeboten hat.</w:t>
      </w:r>
    </w:p>
    <w:p>
      <w:pPr>
        <w:pStyle w:val="Heading2"/>
      </w:pPr>
      <w:r>
        <w:rPr>
          <w:rFonts w:ascii="Times New Roman" w:hAnsi="Times New Roman"/>
        </w:rPr>
        <w:t>2 Privates Steckersolargerät</w:t>
      </w:r>
    </w:p>
    <w:p>
      <w:pPr>
        <w:jc w:val="left"/>
      </w:pPr>
      <w:r>
        <w:t>An Wohnung 05 befindet sich ein privates Steckersolargerät. Die Gemeinschaft hat dessen Anbringung im Jahr 2025 genehmigt. Das Gerät gehört der dortigen Wohnungspartei und ist nicht Teil der 18-kWp-Dachanlage. Die Genehmigung bezieht sich auf den abgestimmten Montageort und die Befestigung; ein Erwerb des Geräts durch die Gemeinschaft ist damit nicht verbunden.</w:t>
      </w:r>
    </w:p>
    <w:p>
      <w:pPr>
        <w:jc w:val="left"/>
      </w:pPr>
      <w:r>
        <w:t>Beim Ortstermin wurde die Anlage lediglich vom Hof aus gesehen. Eine elektrische Prüfung fand nicht statt. Für Wohnung 07 wurde kein Steckersolargerät dokumentiert. Die Unterlagen zur Wohnung 05 werden getrennt von den Betreiberunterlagen der Dachanlage aufbewahrt.</w:t>
      </w:r>
    </w:p>
    <w:p>
      <w:pPr>
        <w:pStyle w:val="Heading2"/>
      </w:pPr>
      <w:r>
        <w:rPr>
          <w:rFonts w:ascii="Times New Roman" w:hAnsi="Times New Roman"/>
        </w:rPr>
        <w:t>3 Tiefgarage und Ladeinfrastruktur</w:t>
      </w:r>
    </w:p>
    <w:p>
      <w:pPr>
        <w:jc w:val="left"/>
      </w:pPr>
      <w:r>
        <w:t>Die Tiefgarage enthält zwölf Stellplätze. Der Wohnungsvermietung von Wohnung 07 ist keiner dieser Plätze zugeordnet. Bei der Begehung waren keine neu installierten Wallboxen und keine neu gezogenen gemeinsamen Ladeleitungen vorhanden. Die Toranlage und die vorhandene Garagenbeleuchtung waren unverändert.</w:t>
      </w:r>
    </w:p>
    <w:p>
      <w:pPr>
        <w:jc w:val="left"/>
      </w:pPr>
      <w:r>
        <w:t>Für eine gemeinschaftliche Wallboxinfrastruktur liegt ein Angebot mit technischer Vorplanung vor. Gegenstand sind eine mögliche Leitungsführung und ein späteres Lastmanagement. Eine Annahme des Angebots ist nicht dokumentiert. Es wurden weder Material bestellt noch Bauarbeiten freigegeben; es gibt keine Abnahme und kein Inbetriebnahmeprotokoll für eine solche Infrastruktur. Der Beirat bezeichnete das Vorhaben weiterhin als Angebot zur Beratung.</w:t>
      </w:r>
    </w:p>
    <w:p>
      <w:pPr>
        <w:jc w:val="left"/>
      </w:pPr>
      <w:r>
        <w:t>Eine Rechnung über die Errichtung dieser Ladeinfrastruktur liegt nicht vor. Die Besichtigung eines möglichen Leitungswegs in der Garage wurde nicht als Beginn der Ausführung verstanden. Die Wohnungspartei Seidel hat keinen Ladepunkt beantragt und keinen Stellplatzvertrag abgeschlossen.</w:t>
      </w:r>
    </w:p>
    <w:p>
      <w:pPr>
        <w:pStyle w:val="Heading2"/>
      </w:pPr>
      <w:r>
        <w:rPr>
          <w:rFonts w:ascii="Times New Roman" w:hAnsi="Times New Roman"/>
        </w:rPr>
        <w:t>4 Bestand und Versorgung</w:t>
      </w:r>
    </w:p>
    <w:p>
      <w:pPr>
        <w:jc w:val="left"/>
      </w:pPr>
      <w:r>
        <w:t>Das Haus besteht seit 2003. Die Installation der Dachanlage im Jahr 2024 und die Genehmigung des privaten Geräts im Jahr 2025 waren Maßnahmen am bestehenden Gebäude; im Jahr 2025 wurde kein neues Wohngebäude errichtet. Sämtliche zwölf Wohnungen waren während des gesamten Kalenderjahres 2025 bewohnt. Der Verwaltung wurden für diesen Zeitraum weder Einzüge noch Auszüge gemeldet.</w:t>
      </w:r>
    </w:p>
    <w:p>
      <w:pPr>
        <w:jc w:val="left"/>
      </w:pPr>
      <w:r>
        <w:t>Die Wärmeversorgung erfolgt unverändert über die zentrale Ölheizung mit zentraler Warmwasserbereitung. Eine Umrüstung auf Wärmepumpe, Direktstromheizung oder elektrische Einzel-Warmwassergeräte wurde bei diesem Termin weder festgestellt noch beauftragt. Die vorhandenen Heizkosten- und Warmwassererfassungsgeräte blieben vom PV- und Garagenprojekt unberührt.</w:t>
      </w:r>
    </w:p>
    <w:p>
      <w:pPr>
        <w:jc w:val="left"/>
      </w:pPr>
      <w:r>
        <w:t>Protokolliert von Lea Wendt, Hofbogen Immobilienverwaltung GmbH; 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Hofbogen Immobilienverwaltung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Hofbogen Immobilienverwaltung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