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ALBERS &amp; FENNEKER RECHTSANWÄLTE</w:t>
            </w:r>
          </w:p>
        </w:tc>
        <w:tc>
          <w:tcPr>
            <w:tcW w:type="dxa" w:w="3515"/>
            <w:vAlign w:val="center"/>
            <w:tcMar>
              <w:top w:w="70" w:type="dxa"/>
              <w:left w:w="70" w:type="dxa"/>
              <w:bottom w:w="70" w:type="dxa"/>
              <w:right w:w="70" w:type="dxa"/>
            </w:tcMar>
          </w:tcPr>
          <w:p>
            <w:pPr>
              <w:spacing w:after="0"/>
              <w:jc w:val="right"/>
            </w:pPr>
            <w:r>
              <w:rPr>
                <w:rFonts w:ascii="Arial" w:hAnsi="Arial"/>
                <w:sz w:val="16"/>
              </w:rPr>
              <w:t>Prinzipalmarkt 14 · 48143 Münster</w:t>
              <w:br/>
              <w:t>Telefon 0251 480 91-0</w:t>
              <w:br/>
              <w:t>kanzlei@albers-fenneker.de</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Mandantin</w:t>
            </w:r>
          </w:p>
        </w:tc>
        <w:tc>
          <w:tcPr>
            <w:tcW w:type="dxa" w:w="6973"/>
            <w:tcMar>
              <w:top w:w="90" w:type="dxa"/>
              <w:left w:w="90" w:type="dxa"/>
              <w:bottom w:w="90" w:type="dxa"/>
              <w:right w:w="90" w:type="dxa"/>
            </w:tcMar>
            <w:vAlign w:val="center"/>
          </w:tcPr>
          <w:p>
            <w:r>
              <w:rPr>
                <w:rFonts w:ascii="Arial" w:hAnsi="Arial"/>
                <w:sz w:val="18"/>
              </w:rPr>
              <w:t>Wiebke Hagedorn, Rosenweg 18, 48157 Münster</w:t>
            </w:r>
          </w:p>
        </w:tc>
      </w:tr>
      <w:tr>
        <w:tc>
          <w:tcPr>
            <w:tcW w:type="dxa" w:w="2041"/>
            <w:shd w:fill="E9EEF2"/>
            <w:tcMar>
              <w:top w:w="90" w:type="dxa"/>
              <w:left w:w="90" w:type="dxa"/>
              <w:bottom w:w="90" w:type="dxa"/>
              <w:right w:w="90" w:type="dxa"/>
            </w:tcMar>
            <w:vAlign w:val="center"/>
          </w:tcPr>
          <w:p>
            <w:r>
              <w:rPr>
                <w:rFonts w:ascii="Arial" w:hAnsi="Arial"/>
                <w:b/>
                <w:sz w:val="18"/>
              </w:rPr>
              <w:t>Gegenseite</w:t>
            </w:r>
          </w:p>
        </w:tc>
        <w:tc>
          <w:tcPr>
            <w:tcW w:type="dxa" w:w="6973"/>
            <w:tcMar>
              <w:top w:w="90" w:type="dxa"/>
              <w:left w:w="90" w:type="dxa"/>
              <w:bottom w:w="90" w:type="dxa"/>
              <w:right w:w="90" w:type="dxa"/>
            </w:tcMar>
            <w:vAlign w:val="center"/>
          </w:tcPr>
          <w:p>
            <w:r>
              <w:rPr>
                <w:rFonts w:ascii="Arial" w:hAnsi="Arial"/>
                <w:sz w:val="18"/>
              </w:rPr>
              <w:t>Gartenbau Blühendes Leben GmbH, Wolbecker Straße 418, 48157 Münster</w:t>
            </w:r>
          </w:p>
        </w:tc>
      </w:tr>
      <w:tr>
        <w:tc>
          <w:tcPr>
            <w:tcW w:type="dxa" w:w="2041"/>
            <w:shd w:fill="E9EEF2"/>
            <w:tcMar>
              <w:top w:w="90" w:type="dxa"/>
              <w:left w:w="90" w:type="dxa"/>
              <w:bottom w:w="90" w:type="dxa"/>
              <w:right w:w="90" w:type="dxa"/>
            </w:tcMar>
            <w:vAlign w:val="center"/>
          </w:tcPr>
          <w:p>
            <w:r>
              <w:rPr>
                <w:rFonts w:ascii="Arial" w:hAnsi="Arial"/>
                <w:b/>
                <w:sz w:val="18"/>
              </w:rPr>
              <w:t>Unser Zeichen</w:t>
            </w:r>
          </w:p>
        </w:tc>
        <w:tc>
          <w:tcPr>
            <w:tcW w:type="dxa" w:w="6973"/>
            <w:tcMar>
              <w:top w:w="90" w:type="dxa"/>
              <w:left w:w="90" w:type="dxa"/>
              <w:bottom w:w="90" w:type="dxa"/>
              <w:right w:w="90" w:type="dxa"/>
            </w:tcMar>
            <w:vAlign w:val="center"/>
          </w:tcPr>
          <w:p>
            <w:r>
              <w:rPr>
                <w:rFonts w:ascii="Arial" w:hAnsi="Arial"/>
                <w:sz w:val="18"/>
              </w:rPr>
              <w:t>26-0618-A / gh</w:t>
            </w:r>
          </w:p>
        </w:tc>
      </w:tr>
      <w:tr>
        <w:tc>
          <w:tcPr>
            <w:tcW w:type="dxa" w:w="2041"/>
            <w:shd w:fill="E9EEF2"/>
            <w:tcMar>
              <w:top w:w="90" w:type="dxa"/>
              <w:left w:w="90" w:type="dxa"/>
              <w:bottom w:w="90" w:type="dxa"/>
              <w:right w:w="90" w:type="dxa"/>
            </w:tcMar>
            <w:vAlign w:val="center"/>
          </w:tcPr>
          <w:p>
            <w:r>
              <w:rPr>
                <w:rFonts w:ascii="Arial" w:hAnsi="Arial"/>
                <w:b/>
                <w:sz w:val="18"/>
              </w:rPr>
              <w:t>Datum</w:t>
            </w:r>
          </w:p>
        </w:tc>
        <w:tc>
          <w:tcPr>
            <w:tcW w:type="dxa" w:w="6973"/>
            <w:tcMar>
              <w:top w:w="90" w:type="dxa"/>
              <w:left w:w="90" w:type="dxa"/>
              <w:bottom w:w="90" w:type="dxa"/>
              <w:right w:w="90" w:type="dxa"/>
            </w:tcMar>
            <w:vAlign w:val="center"/>
          </w:tcPr>
          <w:p>
            <w:r>
              <w:rPr>
                <w:rFonts w:ascii="Arial" w:hAnsi="Arial"/>
                <w:sz w:val="18"/>
              </w:rPr>
              <w:t>4. Juni 2026</w:t>
            </w:r>
          </w:p>
        </w:tc>
      </w:tr>
      <w:tr>
        <w:tc>
          <w:tcPr>
            <w:tcW w:type="dxa" w:w="2041"/>
            <w:shd w:fill="E9EEF2"/>
            <w:tcMar>
              <w:top w:w="90" w:type="dxa"/>
              <w:left w:w="90" w:type="dxa"/>
              <w:bottom w:w="90" w:type="dxa"/>
              <w:right w:w="90" w:type="dxa"/>
            </w:tcMar>
            <w:vAlign w:val="center"/>
          </w:tcPr>
          <w:p>
            <w:r>
              <w:rPr>
                <w:rFonts w:ascii="Arial" w:hAnsi="Arial"/>
                <w:b/>
                <w:sz w:val="18"/>
              </w:rPr>
              <w:t>Bearbeiterin</w:t>
            </w:r>
          </w:p>
        </w:tc>
        <w:tc>
          <w:tcPr>
            <w:tcW w:type="dxa" w:w="6973"/>
            <w:tcMar>
              <w:top w:w="90" w:type="dxa"/>
              <w:left w:w="90" w:type="dxa"/>
              <w:bottom w:w="90" w:type="dxa"/>
              <w:right w:w="90" w:type="dxa"/>
            </w:tcMar>
            <w:vAlign w:val="center"/>
          </w:tcPr>
          <w:p>
            <w:r>
              <w:rPr>
                <w:rFonts w:ascii="Arial" w:hAnsi="Arial"/>
                <w:sz w:val="18"/>
              </w:rPr>
              <w:t>Rechtsanwältin Meike Albers</w:t>
            </w:r>
          </w:p>
        </w:tc>
      </w:tr>
    </w:tbl>
    <w:p>
      <w:pPr>
        <w:spacing w:after="20"/>
      </w:pPr>
    </w:p>
    <w:p>
      <w:pPr>
        <w:pStyle w:val="Title"/>
      </w:pPr>
      <w:r>
        <w:t>Mandatsaufnahme und Sachverhalt</w:t>
      </w:r>
    </w:p>
    <w:p>
      <w:pPr>
        <w:pStyle w:val="Heading1"/>
      </w:pPr>
      <w:r>
        <w:t>1. Anlass des Mandats</w:t>
      </w:r>
    </w:p>
    <w:p>
      <w:r>
        <w:t>Frau Wiebke Hagedorn erschien am 4. Juni 2026 um 09:10 Uhr mit dem am 2. Juni ausgehändigten Zwischenzeugnis, zwei Jahresgesprächsbögen und Ausdrucken aus ihrem privaten E-Mail-Postfach. Sie ist seit dem 1. August 2016 als Floristin beschäftigt und seit März 2020 stellvertretende Filialleiterin. Nach ihrer Elternzeit vom 15. September 2024 bis 31. Mai 2026 kehrte sie am 1. Juni in die Filiale Münster-Ost zurück.</w:t>
      </w:r>
    </w:p>
    <w:p>
      <w:r>
        <w:t>Am 18. Mai hatte sie wegen der Rückkehr und einer parallel laufenden Bewerbung um ein Regionalleiter-Traineeprogramm ein qualifiziertes Zwischenzeugnis verlangt. Der Personalentwurf vom 26. Mai enthielt nach ihrer Erinnerung Aufgaben zur Teamkoordination, Ausbildung und Reklamationsbearbeitung. Die am 2. Juni übergebene Fassung trägt das Datum 29. Mai und ist nur von der Personalassistentin Paula Kruse unterschrieben.</w:t>
      </w:r>
    </w:p>
    <w:p>
      <w:pPr>
        <w:pStyle w:val="Heading1"/>
      </w:pPr>
      <w:r>
        <w:t>2. Auffälligkeiten der übergebenen Fassung</w:t>
      </w:r>
    </w:p>
    <w:p>
      <w:r>
        <w:t>Die Tätigkeitsbeschreibung nennt Beratung, Pflanzenpflege, Kassenabschluss und Warenannahme. Nicht genannt sind die seit 2020 ausgeübte Schichteinteilung, die Anleitung zweier Auszubildender, die Freigabe von Reklamationen bis 250 Euro und die saisonale Warenpräsentation. Als Leistungsformel findet sich „Frau Hagedorn erledigte die ihr übertragenen Aufgaben zu unserer Zufriedenheit“. Beim Verhalten werden Vorgesetzte und Kollegen genannt, nicht jedoch Kunden und Auszubildende.</w:t>
      </w:r>
    </w:p>
    <w:p>
      <w:r>
        <w:t>Eine Dankes-, Bedauerns- oder Zukunftsformel fehlt. Das Arbeitsverhältnis besteht fort. Die Jahresgesprächsbögen 2022 und 2023 bewerten Fachwissen, Kundenberatung und Zuverlässigkeit jeweils mit vier von fünf Punkten. Im Bogen 2023 ist die Einarbeitung der Auszubildenden ausdrücklich als Stärke vermerkt.</w:t>
      </w:r>
    </w:p>
    <w:p>
      <w:pPr>
        <w:pStyle w:val="Heading1"/>
      </w:pPr>
      <w:r>
        <w:t>3. Streitiger Hintergrund</w:t>
      </w:r>
    </w:p>
    <w:p>
      <w:r>
        <w:t>Die Mandantin vermutet einen Zusammenhang mit einer Kassendifferenz von 74,30 Euro am 12. Februar 2024. Nach einem Kassenupdate fehlte der Betrag im Tagesabschluss; am Folgetag wurde eine doppelt verbuchte Kartenzahlung festgestellt. Eine Abmahnung oder persönliche Belastung der Mandantin erfolgte nicht. In einer weitergeleiteten internen Nachricht bezeichnet Filialleiter Lennart Voß die Sache gleichwohl als „Hagedorn-Kasse“.</w:t>
      </w:r>
    </w:p>
    <w:p>
      <w:r>
        <w:t>Am 3. Juni teilte Frau Kruse telefonisch mit, Änderungen seien nur nach Freigabe des Geschäftsführers möglich. Frau Hagedorn hat noch keine Referenzauskunft gestattet. Die mögliche neue Arbeitgeberin kündigte für den 16. Juni eine telefonische Rückfrage an.</w:t>
      </w:r>
    </w:p>
    <w:p>
      <w:pPr>
        <w:pStyle w:val="Heading1"/>
      </w:pPr>
      <w:r>
        <w:t>4. Übergebene Unterlagen und offene Beschaffung</w:t>
      </w:r>
    </w:p>
    <w:p>
      <w:r>
        <w:t>Vorhanden sind das Zwischenzeugnis als Scan, die Gesprächsbögen 2022 und 2023, die eigene Tätigkeitsliste der Mandantin, zwei E-Mail-Ausdrucke sowie eine Kalendernotiz zum Telefonat vom 3. Juni. Nachzufordern sind die Originalausfertigung, der vollständige Entwurf vom 26. Mai mit Versionshistorie, die vollständige Kassenkorrespondenz einschließlich Anhängen und die aktuell gültige Stellenbeschreibung.</w:t>
      </w:r>
    </w:p>
    <w:p>
      <w:r>
        <w:t>Frau Hagedorn soll bis zur Prüfung keine telefonische Referenzfreigabe erteilen und eingehende Nachrichten unverändert weiterleiten. Eine abschließende Bewertung wurde im Erstgespräch nicht abgegeben.</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ALBERS &amp; FENNEKER RECHTSANWÄLTE · 26-0618-A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01-sachverhalt-und-offene-punkte</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