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Kanzlei Timmerbeil und Kollegen</w:t>
      </w:r>
    </w:p>
    <w:p>
      <w:pPr>
        <w:jc w:val="left"/>
      </w:pPr>
      <w:r>
        <w:t>Fachanwälte für Arbeitsrecht</w:t>
      </w:r>
    </w:p>
    <w:p>
      <w:pPr>
        <w:jc w:val="left"/>
      </w:pPr>
      <w:r>
        <w:t>Ebertstraße 14, 45879 Gelsenkirchen</w:t>
      </w:r>
    </w:p>
    <w:p>
      <w:pPr>
        <w:jc w:val="left"/>
      </w:pPr>
      <w:r>
        <w:t>Telefon 0209 17702-0 — kanzlei@timmerbeil-arbeitsrecht.de</w:t>
      </w:r>
    </w:p>
    <w:p/>
    <w:p>
      <w:pPr>
        <w:jc w:val="left"/>
      </w:pPr>
      <w:r>
        <w:t>An das Arbeitsgericht Gelsenkirchen</w:t>
      </w:r>
    </w:p>
    <w:p>
      <w:pPr>
        <w:jc w:val="left"/>
      </w:pPr>
      <w:r>
        <w:t>Bochumer Straße 79, 45886 Gelsenkirchen</w:t>
      </w:r>
    </w:p>
    <w:p>
      <w:pPr>
        <w:jc w:val="left"/>
      </w:pPr>
      <w:r>
        <w:t>Gelsenkirchen, 12.05.2026</w:t>
      </w:r>
    </w:p>
    <w:p/>
    <w:p>
      <w:pPr>
        <w:jc w:val="left"/>
      </w:pPr>
      <w:r>
        <w:t>In dem Rechtsstreit</w:t>
      </w:r>
    </w:p>
    <w:p>
      <w:pPr>
        <w:jc w:val="left"/>
      </w:pPr>
      <w:r>
        <w:t>Erkan Demirel, Bickernstraße 22, 45886 Gelsenkirchen</w:t>
      </w:r>
    </w:p>
    <w:p>
      <w:pPr>
        <w:jc w:val="left"/>
      </w:pPr>
      <w:r>
        <w:t>— Kläger —</w:t>
      </w:r>
    </w:p>
    <w:p>
      <w:pPr>
        <w:jc w:val="left"/>
      </w:pPr>
      <w:r>
        <w:t>Prozessbevollmächtigte: Kanzlei Timmerbeil und Kollegen, Gelsenkirchen</w:t>
      </w:r>
    </w:p>
    <w:p>
      <w:pPr>
        <w:jc w:val="left"/>
      </w:pPr>
      <w:r>
        <w:t>gegen</w:t>
      </w:r>
    </w:p>
    <w:p>
      <w:pPr>
        <w:jc w:val="left"/>
      </w:pPr>
      <w:r>
        <w:t>Nordwall Logistik GmbH, vertreten durch den Geschäftsführer Reinhard Kortmann, Emscherstraße 88, 45881 Gelsenkirchen</w:t>
      </w:r>
    </w:p>
    <w:p>
      <w:pPr>
        <w:jc w:val="left"/>
      </w:pPr>
      <w:r>
        <w:t>— Beklagte —</w:t>
      </w:r>
    </w:p>
    <w:p>
      <w:pPr>
        <w:jc w:val="left"/>
      </w:pPr>
      <w:r>
        <w:t>erheben wir Kündigungsschutzklage und werden beantragen:</w:t>
      </w:r>
    </w:p>
    <w:p>
      <w:pPr>
        <w:jc w:val="left"/>
      </w:pPr>
      <w:r>
        <w:t>1 Anträge</w:t>
      </w:r>
    </w:p>
    <w:p>
      <w:pPr>
        <w:jc w:val="left"/>
      </w:pPr>
      <w:r>
        <w:t>1.1 Es wird festgestellt, dass das Arbeitsverhältnis der Parteien durch die fristlose Kündigung vom 29.04.2026, zugegangen am 30.04.2026, nicht aufgelöst worden ist.</w:t>
      </w:r>
    </w:p>
    <w:p>
      <w:pPr>
        <w:jc w:val="left"/>
      </w:pPr>
      <w:r>
        <w:t>1.2 Es wird festgestellt, dass das Arbeitsverhältnis auch nicht durch die hilfsweise ordentliche Kündigung aufgelöst wird, sondern zu unveränderten Bedingungen fortbesteht.</w:t>
      </w:r>
    </w:p>
    <w:p>
      <w:pPr>
        <w:jc w:val="left"/>
      </w:pPr>
      <w:r>
        <w:t>1.3 Die Beklagte wird verurteilt, den Kläger bis zum rechtskräftigen Abschluss des Verfahrens weiterzubeschäftigen.</w:t>
      </w:r>
    </w:p>
    <w:p>
      <w:pPr>
        <w:jc w:val="left"/>
      </w:pPr>
      <w:r>
        <w:t>2 Begründung</w:t>
      </w:r>
    </w:p>
    <w:p>
      <w:pPr>
        <w:jc w:val="left"/>
      </w:pPr>
      <w:r>
        <w:t>2.1 Der Kläger ist seit 2019 bei der Beklagten im Packbereich beschäftigt. Die Klagefrist des § 4 KSchG ist gewahrt; die Kündigung ging am 30.04.2026 zu, die Klage ist am 12.05.2026 anhängig.</w:t>
      </w:r>
    </w:p>
    <w:p>
      <w:pPr>
        <w:jc w:val="left"/>
      </w:pPr>
      <w:r>
        <w:t>2.2 Ein wichtiger Grund im Sinne des § 626 Absatz 1 BGB liegt nicht vor. Der Kläger hat die beiden Artikel als beschädigte Retoure aussortiert; eine Zueignungsabsicht bestand nicht.</w:t>
      </w:r>
    </w:p>
    <w:p>
      <w:pPr>
        <w:jc w:val="left"/>
      </w:pPr>
      <w:r>
        <w:t>2.3 Die Kündigung stützt sich allein auf eine verdeckte Videoaufzeichnung. Diese ist rechtswidrig erlangt und im Prozess nicht verwertbar.</w:t>
      </w:r>
    </w:p>
    <w:p>
      <w:pPr>
        <w:jc w:val="left"/>
      </w:pPr>
      <w:r>
        <w:t>2.3.1 Die verdeckte Videoüberwachung von Beschäftigten ist nach § 26 Absatz 1 BDSG nur zulässig, wenn ein durch Tatsachen begründeter Verdacht einer Straftat gegen eine bestimmte Person besteht, weniger einschneidende Mittel ausgeschöpft sind und die Maßnahme insgesamt verhältnismäßig ist. Diese Voraussetzungen lagen nicht vor; ein konkreter Verdacht gegen den Kläger bestand vor der Maßnahme nicht.</w:t>
      </w:r>
    </w:p>
    <w:p>
      <w:pPr>
        <w:jc w:val="left"/>
      </w:pPr>
      <w:r>
        <w:t>2.3.2 Die Überwachung war zudem nicht auf einen Verdachtsbereich begrenzt. Nach dem Installationsprotokoll erfassten sechs Kameras rund um die Uhr über 47 Tage auch den Randbereich des Pausenraums und den Spind- und Zeiterfassungsbereich. Dauerhaft im Bild waren neben dem Kläger 14 weitere, unbeteiligte Beschäftigte. Die Maßnahme verstößt damit gegen die Grundsätze der Datenminimierung und der Verhältnismäßigkeit (Artikel 5 Absatz 1 Buchstabe c und Artikel 6 DSGVO).</w:t>
      </w:r>
    </w:p>
    <w:p>
      <w:pPr>
        <w:jc w:val="left"/>
      </w:pPr>
      <w:r>
        <w:t>2.3.3 Eine Betriebsvereinbarung nach § 87 Absatz 1 Nummer 6 BetrVG bestand nicht; der Betriebsrat war nicht beteiligt. Auch dies führt zur Unzulässigkeit der Maßnahme.</w:t>
      </w:r>
    </w:p>
    <w:p>
      <w:pPr>
        <w:jc w:val="left"/>
      </w:pPr>
      <w:r>
        <w:t>2.4 Aus der Rechtswidrigkeit der Überwachung folgt ein Beweisverwertungsverbot. Die Beklagte kann die Kündigung nicht auf die Aufzeichnung stützen; weitere Beweismittel benennt sie nicht.</w:t>
      </w:r>
    </w:p>
    <w:p>
      <w:pPr>
        <w:jc w:val="left"/>
      </w:pPr>
      <w:r>
        <w:t>3 Beweismittel</w:t>
      </w:r>
    </w:p>
    <w:p>
      <w:pPr>
        <w:jc w:val="left"/>
      </w:pPr>
      <w:r>
        <w:t>3.1 Installationsprotokoll der Kameras; Dienstpläne des Packbereichs; Zeugnis des Betriebsratsvorsitzenden Volkan Aydin.</w:t>
      </w:r>
    </w:p>
    <w:p/>
    <w:p>
      <w:pPr>
        <w:jc w:val="left"/>
      </w:pPr>
      <w:r>
        <w:t>Gelsenkirchen, 12.05.2026</w:t>
      </w:r>
    </w:p>
    <w:p>
      <w:pPr>
        <w:jc w:val="left"/>
      </w:pPr>
      <w:r>
        <w:t>Dr. Ansgar Timmerbeil, Rechtsanwalt</w:t>
      </w:r>
    </w:p>
    <w:p>
      <w:pPr>
        <w:jc w:val="left"/>
      </w:pPr>
      <w:r>
        <w:t>Formathinweis: Times New Roman, 11 pt, dezimale Gliederung.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