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POSTEINGANGS- UND PRÜFVERMERK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28.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87/26 F / kf</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Katharina Feldmann</w:t>
            </w:r>
          </w:p>
        </w:tc>
      </w:tr>
    </w:tbl>
    <w:p/>
    <w:p>
      <w:pPr>
        <w:pStyle w:val="Title"/>
      </w:pPr>
      <w:r>
        <w:rPr>
          <w:rFonts w:ascii="Arial" w:hAnsi="Arial" w:eastAsia="Arial"/>
          <w:b/>
          <w:color w:val="173941"/>
          <w:sz w:val="34"/>
        </w:rPr>
        <w:t>Nachgereichte Belege zu Depot, Bonus und Kindesmehrbedarf</w:t>
      </w:r>
    </w:p>
    <w:p>
      <w:pPr>
        <w:pStyle w:val="Heading1"/>
      </w:pPr>
      <w:r>
        <w:t>1. Eingang</w:t>
      </w:r>
    </w:p>
    <w:p>
      <w:pPr>
        <w:jc w:val="both"/>
      </w:pPr>
      <w:r>
        <w:rPr>
          <w:rFonts w:ascii="Arial" w:hAnsi="Arial" w:eastAsia="Arial"/>
          <w:b w:val="0"/>
          <w:sz w:val="21"/>
        </w:rPr>
        <w:t>Dr. Elena Neumann übergab am 28. Juni 2026 um 09:42 Uhr am Empfang einen verschlossenen Umschlag und einen USB-Stick. Rechtsanwaltsfachangestellte Hannah Klose nahm die Unterlagen entgegen, erstellte einen Virenscan und gab den Stick um 10:18 Uhr zurück. Im Umschlag befanden sich der TradePort-Depotauszug 2025, eine Kopie der Bonusmitteilung von HydroMotion Systems und die Rechnung des Lernzentrums Wetterau.</w:t>
      </w:r>
    </w:p>
    <w:p>
      <w:pPr>
        <w:pStyle w:val="Heading1"/>
      </w:pPr>
      <w:r>
        <w:t>2. Depotauszug</w:t>
      </w:r>
    </w:p>
    <w:p>
      <w:pPr>
        <w:jc w:val="both"/>
      </w:pPr>
      <w:r>
        <w:rPr>
          <w:rFonts w:ascii="Arial" w:hAnsi="Arial" w:eastAsia="Arial"/>
          <w:b w:val="0"/>
          <w:sz w:val="21"/>
        </w:rPr>
        <w:t>Der Auszug weist für das auf Martin Neumann lautende Depot zum 31. Dezember 2025 einen Kurswert von 126840,22 EUR aus. Enthalten sind 412 Anteile Global Equity ETF, 96 Aktien HydroMotion Holding und ein Geldmarktfonds. Der Verkauf vom 6. Juni 2026 ist im Jahresauszug naturgemäß nicht enthalten. Erforderlich bleiben Umsatzliste Januar bis Juni 2026, Abrechnung des Verkaufs und Beleg des Zielkontos.</w:t>
      </w:r>
    </w:p>
    <w:p>
      <w:pPr>
        <w:pStyle w:val="Heading1"/>
      </w:pPr>
      <w:r>
        <w:t>3. Bonusmitteilung</w:t>
      </w:r>
    </w:p>
    <w:p>
      <w:pPr>
        <w:jc w:val="both"/>
      </w:pPr>
      <w:r>
        <w:rPr>
          <w:rFonts w:ascii="Arial" w:hAnsi="Arial" w:eastAsia="Arial"/>
          <w:b w:val="0"/>
          <w:sz w:val="21"/>
        </w:rPr>
        <w:t>HydroMotion Systems teilte am 18. Februar 2026 für das Geschäftsjahr 2025 einen Bruttobonus von 18600,00 EUR mit. Auszahlungsmonat war März 2026. Die vorliegende Märzabrechnung der Gegenseite fehlt weiterhin. Ob und in welchem Umfang Steuerabzug, Zielkorrekturen oder Rückzahlungsvorbehalte bestehen, ist anhand der Abrechnung und Bonusordnung zu prüfen.</w:t>
      </w:r>
    </w:p>
    <w:p>
      <w:pPr>
        <w:pStyle w:val="Heading1"/>
      </w:pPr>
      <w:r>
        <w:t>4. Lerntherapie Paula</w:t>
      </w:r>
    </w:p>
    <w:p>
      <w:pPr>
        <w:jc w:val="both"/>
      </w:pPr>
      <w:r>
        <w:rPr>
          <w:rFonts w:ascii="Arial" w:hAnsi="Arial" w:eastAsia="Arial"/>
          <w:b w:val="0"/>
          <w:sz w:val="21"/>
        </w:rPr>
        <w:t>Das Lernzentrum Wetterau berechnet ab 1. Juli 2026 zwölf Einheiten Mathematikförderung zu je 58,00 EUR sowie einmalig 84,00 EUR Diagnostik. Die Rechnung ist an Elena Neumann gerichtet. Beigefügt ist eine E-Mail der Mathematiklehrerin vom 23. Juni, die eine zeitlich begrenzte Förderung empfiehlt. Noch offen sind Zustimmung des Vaters, mögliche Erstattung und tatsächliche Teilnahme.</w:t>
      </w:r>
    </w:p>
    <w:p>
      <w:pPr>
        <w:pStyle w:val="Heading1"/>
      </w:pPr>
      <w:r>
        <w:t>5. Zuordnung für die weitere Bearbeitung</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2494"/>
            <w:shd w:fill="E7EFF1"/>
            <w:vAlign w:val="center"/>
          </w:tcPr>
          <w:p>
            <w:r>
              <w:rPr>
                <w:rFonts w:ascii="Arial" w:hAnsi="Arial" w:eastAsia="Arial"/>
                <w:b/>
                <w:color w:val="173941"/>
                <w:sz w:val="17"/>
              </w:rPr>
              <w:t>Unterlage</w:t>
            </w:r>
          </w:p>
        </w:tc>
        <w:tc>
          <w:tcPr>
            <w:tcW w:type="dxa" w:w="2268"/>
            <w:shd w:fill="E7EFF1"/>
            <w:vAlign w:val="center"/>
          </w:tcPr>
          <w:p>
            <w:r>
              <w:rPr>
                <w:rFonts w:ascii="Arial" w:hAnsi="Arial" w:eastAsia="Arial"/>
                <w:b/>
                <w:color w:val="173941"/>
                <w:sz w:val="17"/>
              </w:rPr>
              <w:t>Rechenstrang</w:t>
            </w:r>
          </w:p>
        </w:tc>
        <w:tc>
          <w:tcPr>
            <w:tcW w:type="dxa" w:w="2608"/>
            <w:shd w:fill="E7EFF1"/>
            <w:vAlign w:val="center"/>
          </w:tcPr>
          <w:p>
            <w:r>
              <w:rPr>
                <w:rFonts w:ascii="Arial" w:hAnsi="Arial" w:eastAsia="Arial"/>
                <w:b/>
                <w:color w:val="173941"/>
                <w:sz w:val="17"/>
              </w:rPr>
              <w:t>Gesicherter Wert</w:t>
            </w:r>
          </w:p>
        </w:tc>
        <w:tc>
          <w:tcPr>
            <w:tcW w:type="dxa" w:w="2835"/>
            <w:shd w:fill="E7EFF1"/>
            <w:vAlign w:val="center"/>
          </w:tcPr>
          <w:p>
            <w:r>
              <w:rPr>
                <w:rFonts w:ascii="Arial" w:hAnsi="Arial" w:eastAsia="Arial"/>
                <w:b/>
                <w:color w:val="173941"/>
                <w:sz w:val="17"/>
              </w:rPr>
              <w:t>Offener Beleg</w:t>
            </w:r>
          </w:p>
        </w:tc>
      </w:tr>
      <w:tr>
        <w:tc>
          <w:tcPr>
            <w:tcW w:type="dxa" w:w="2494"/>
            <w:vAlign w:val="top"/>
          </w:tcPr>
          <w:p>
            <w:r>
              <w:rPr>
                <w:rFonts w:ascii="Arial" w:hAnsi="Arial" w:eastAsia="Arial"/>
                <w:b w:val="0"/>
                <w:sz w:val="16"/>
              </w:rPr>
              <w:t>Depotauszug</w:t>
            </w:r>
          </w:p>
        </w:tc>
        <w:tc>
          <w:tcPr>
            <w:tcW w:type="dxa" w:w="2268"/>
            <w:vAlign w:val="top"/>
          </w:tcPr>
          <w:p>
            <w:r>
              <w:rPr>
                <w:rFonts w:ascii="Arial" w:hAnsi="Arial" w:eastAsia="Arial"/>
                <w:b w:val="0"/>
                <w:sz w:val="16"/>
              </w:rPr>
              <w:t>Vermögen</w:t>
            </w:r>
          </w:p>
        </w:tc>
        <w:tc>
          <w:tcPr>
            <w:tcW w:type="dxa" w:w="2608"/>
            <w:vAlign w:val="top"/>
          </w:tcPr>
          <w:p>
            <w:r>
              <w:rPr>
                <w:rFonts w:ascii="Arial" w:hAnsi="Arial" w:eastAsia="Arial"/>
                <w:b w:val="0"/>
                <w:sz w:val="16"/>
              </w:rPr>
              <w:t>126840,22 EUR am 31.12.2025</w:t>
            </w:r>
          </w:p>
        </w:tc>
        <w:tc>
          <w:tcPr>
            <w:tcW w:type="dxa" w:w="2835"/>
            <w:vAlign w:val="top"/>
          </w:tcPr>
          <w:p>
            <w:r>
              <w:rPr>
                <w:rFonts w:ascii="Arial" w:hAnsi="Arial" w:eastAsia="Arial"/>
                <w:b w:val="0"/>
                <w:sz w:val="16"/>
              </w:rPr>
              <w:t>Umsatz und Zielkonto 06.06.2026</w:t>
            </w:r>
          </w:p>
        </w:tc>
      </w:tr>
      <w:tr>
        <w:tc>
          <w:tcPr>
            <w:tcW w:type="dxa" w:w="2494"/>
            <w:vAlign w:val="top"/>
          </w:tcPr>
          <w:p>
            <w:r>
              <w:rPr>
                <w:rFonts w:ascii="Arial" w:hAnsi="Arial" w:eastAsia="Arial"/>
                <w:b w:val="0"/>
                <w:sz w:val="16"/>
              </w:rPr>
              <w:t>Bonusmitteilung</w:t>
            </w:r>
          </w:p>
        </w:tc>
        <w:tc>
          <w:tcPr>
            <w:tcW w:type="dxa" w:w="2268"/>
            <w:vAlign w:val="top"/>
          </w:tcPr>
          <w:p>
            <w:r>
              <w:rPr>
                <w:rFonts w:ascii="Arial" w:hAnsi="Arial" w:eastAsia="Arial"/>
                <w:b w:val="0"/>
                <w:sz w:val="16"/>
              </w:rPr>
              <w:t>Einkommen</w:t>
            </w:r>
          </w:p>
        </w:tc>
        <w:tc>
          <w:tcPr>
            <w:tcW w:type="dxa" w:w="2608"/>
            <w:vAlign w:val="top"/>
          </w:tcPr>
          <w:p>
            <w:r>
              <w:rPr>
                <w:rFonts w:ascii="Arial" w:hAnsi="Arial" w:eastAsia="Arial"/>
                <w:b w:val="0"/>
                <w:sz w:val="16"/>
              </w:rPr>
              <w:t>18600,00 EUR brutto</w:t>
            </w:r>
          </w:p>
        </w:tc>
        <w:tc>
          <w:tcPr>
            <w:tcW w:type="dxa" w:w="2835"/>
            <w:vAlign w:val="top"/>
          </w:tcPr>
          <w:p>
            <w:r>
              <w:rPr>
                <w:rFonts w:ascii="Arial" w:hAnsi="Arial" w:eastAsia="Arial"/>
                <w:b w:val="0"/>
                <w:sz w:val="16"/>
              </w:rPr>
              <w:t>Märzabrechnung und Bonusordnung</w:t>
            </w:r>
          </w:p>
        </w:tc>
      </w:tr>
      <w:tr>
        <w:tc>
          <w:tcPr>
            <w:tcW w:type="dxa" w:w="2494"/>
            <w:vAlign w:val="top"/>
          </w:tcPr>
          <w:p>
            <w:r>
              <w:rPr>
                <w:rFonts w:ascii="Arial" w:hAnsi="Arial" w:eastAsia="Arial"/>
                <w:b w:val="0"/>
                <w:sz w:val="16"/>
              </w:rPr>
              <w:t>Lerntherapierechnung</w:t>
            </w:r>
          </w:p>
        </w:tc>
        <w:tc>
          <w:tcPr>
            <w:tcW w:type="dxa" w:w="2268"/>
            <w:vAlign w:val="top"/>
          </w:tcPr>
          <w:p>
            <w:r>
              <w:rPr>
                <w:rFonts w:ascii="Arial" w:hAnsi="Arial" w:eastAsia="Arial"/>
                <w:b w:val="0"/>
                <w:sz w:val="16"/>
              </w:rPr>
              <w:t>Kinderbedarf</w:t>
            </w:r>
          </w:p>
        </w:tc>
        <w:tc>
          <w:tcPr>
            <w:tcW w:type="dxa" w:w="2608"/>
            <w:vAlign w:val="top"/>
          </w:tcPr>
          <w:p>
            <w:r>
              <w:rPr>
                <w:rFonts w:ascii="Arial" w:hAnsi="Arial" w:eastAsia="Arial"/>
                <w:b w:val="0"/>
                <w:sz w:val="16"/>
              </w:rPr>
              <w:t>780,00 EUR geplant</w:t>
            </w:r>
          </w:p>
        </w:tc>
        <w:tc>
          <w:tcPr>
            <w:tcW w:type="dxa" w:w="2835"/>
            <w:vAlign w:val="top"/>
          </w:tcPr>
          <w:p>
            <w:r>
              <w:rPr>
                <w:rFonts w:ascii="Arial" w:hAnsi="Arial" w:eastAsia="Arial"/>
                <w:b w:val="0"/>
                <w:sz w:val="16"/>
              </w:rPr>
              <w:t>Teilnahme und Kostenbeteiligung</w:t>
            </w:r>
          </w:p>
        </w:tc>
      </w:tr>
      <w:tr>
        <w:tc>
          <w:tcPr>
            <w:tcW w:type="dxa" w:w="2494"/>
            <w:vAlign w:val="top"/>
          </w:tcPr>
          <w:p>
            <w:r>
              <w:rPr>
                <w:rFonts w:ascii="Arial" w:hAnsi="Arial" w:eastAsia="Arial"/>
                <w:b w:val="0"/>
                <w:sz w:val="16"/>
              </w:rPr>
              <w:t>Steuerrücklage</w:t>
            </w:r>
          </w:p>
        </w:tc>
        <w:tc>
          <w:tcPr>
            <w:tcW w:type="dxa" w:w="2268"/>
            <w:vAlign w:val="top"/>
          </w:tcPr>
          <w:p>
            <w:r>
              <w:rPr>
                <w:rFonts w:ascii="Arial" w:hAnsi="Arial" w:eastAsia="Arial"/>
                <w:b w:val="0"/>
                <w:sz w:val="16"/>
              </w:rPr>
              <w:t>Einkommensbereinigung</w:t>
            </w:r>
          </w:p>
        </w:tc>
        <w:tc>
          <w:tcPr>
            <w:tcW w:type="dxa" w:w="2608"/>
            <w:vAlign w:val="top"/>
          </w:tcPr>
          <w:p>
            <w:r>
              <w:rPr>
                <w:rFonts w:ascii="Arial" w:hAnsi="Arial" w:eastAsia="Arial"/>
                <w:b w:val="0"/>
                <w:sz w:val="16"/>
              </w:rPr>
              <w:t>nur Behauptung</w:t>
            </w:r>
          </w:p>
        </w:tc>
        <w:tc>
          <w:tcPr>
            <w:tcW w:type="dxa" w:w="2835"/>
            <w:vAlign w:val="top"/>
          </w:tcPr>
          <w:p>
            <w:r>
              <w:rPr>
                <w:rFonts w:ascii="Arial" w:hAnsi="Arial" w:eastAsia="Arial"/>
                <w:b w:val="0"/>
                <w:sz w:val="16"/>
              </w:rPr>
              <w:t>Steuerkonto und Zahlung</w:t>
            </w:r>
          </w:p>
        </w:tc>
      </w:tr>
    </w:tbl>
    <w:p/>
    <w:p>
      <w:pPr>
        <w:pStyle w:val="Heading1"/>
      </w:pPr>
      <w:r>
        <w:t>6. Nächste Schritte</w:t>
      </w:r>
    </w:p>
    <w:p>
      <w:pPr>
        <w:jc w:val="both"/>
      </w:pPr>
      <w:r>
        <w:rPr>
          <w:rFonts w:ascii="Arial" w:hAnsi="Arial" w:eastAsia="Arial"/>
          <w:b w:val="0"/>
          <w:sz w:val="21"/>
        </w:rPr>
        <w:t>Die Gegenseite erhält bis 2. Juli eine präzise Ergänzungsanforderung. Der Depotverkauf wird weder als Verbrauch noch als Vermögensverschiebung eingeordnet, solange Zielkonto und Mittelverwendung fehlen. Die Unterhaltsberechnung wird mit und ohne Bonus als Arbeitsvariante vorbereitet. Wiedervorlage am 6. Juli.</w:t>
      </w:r>
    </w:p>
    <w:p>
      <w:pPr>
        <w:spacing w:before="280"/>
      </w:pPr>
      <w:r>
        <w:rPr>
          <w:rFonts w:ascii="Arial" w:hAnsi="Arial" w:eastAsia="Arial"/>
          <w:b/>
          <w:sz w:val="21"/>
        </w:rPr>
        <w:t>Katharina Feldmann</w:t>
      </w:r>
    </w:p>
    <w:p>
      <w:pPr>
        <w:spacing w:after="0"/>
      </w:pPr>
      <w:r>
        <w:rPr>
          <w:rFonts w:ascii="Arial" w:hAnsi="Arial" w:eastAsia="Arial"/>
          <w:b w:val="0"/>
          <w:color w:val="5C6569"/>
          <w:sz w:val="18"/>
        </w:rPr>
        <w:t>Rechtsanwältin · Fachanwältin für Familienrecht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Handakte 87/26 F · Dr. Neumann / Neumann</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Rechtsanwältin Katharina Feldmann</w:t>
    </w:r>
  </w:p>
  <w:p>
    <w:pPr>
      <w:spacing w:after="0"/>
    </w:pPr>
    <w:r>
      <w:rPr>
        <w:rFonts w:ascii="Arial" w:hAnsi="Arial" w:eastAsia="Arial"/>
        <w:b w:val="0"/>
        <w:color w:val="5C6569"/>
        <w:sz w:val="14"/>
      </w:rPr>
      <w:t>Parkstraße 22 · 61231 Bad Nauheim</w:t>
    </w:r>
  </w:p>
  <w:p>
    <w:pPr>
      <w:spacing w:after="0"/>
    </w:pPr>
    <w:r>
      <w:rPr>
        <w:rFonts w:ascii="Arial" w:hAnsi="Arial" w:eastAsia="Arial"/>
        <w:b w:val="0"/>
        <w:color w:val="5C6569"/>
        <w:sz w:val="14"/>
      </w:rPr>
      <w:t>Telefon 06032 92440 · Telefax 06032 92441 · kanzlei@feldmann-familienrecht.de</w:t>
    </w:r>
  </w:p>
  <w:p>
    <w:pPr>
      <w:spacing w:after="0"/>
    </w:pPr>
    <w:r>
      <w:rPr>
        <w:rFonts w:ascii="Arial" w:hAnsi="Arial" w:eastAsia="Arial"/>
        <w:b w:val="0"/>
        <w:color w:val="5C6569"/>
        <w:sz w:val="14"/>
      </w:rPr>
      <w:t>Rechtsanwältin Katharina Feldmann · Fachanwältin für Familienrecht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Nachgereichte Belege zu Depot, Bonus und Kindesmehrbedarf</dc:title>
  <dc:subject>87/26 F / kf</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