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4677"/>
        <w:gridCol w:w="4677"/>
      </w:tblGrid>
      <w:tr>
        <w:tc>
          <w:tcPr>
            <w:tcW w:type="dxa" w:w="5556"/>
            <w:vAlign w:val="center"/>
            <w:tcMar>
              <w:top w:w="100" w:type="dxa"/>
              <w:start w:w="120" w:type="dxa"/>
              <w:bottom w:w="100" w:type="dxa"/>
              <w:end w:w="120" w:type="dxa"/>
            </w:tcMar>
            <w:tcBorders>
              <w:bottom w:val="single" w:sz="10" w:color="892E2A"/>
            </w:tcBorders>
          </w:tcPr>
          <w:p>
            <w:pPr>
              <w:spacing w:after="40"/>
            </w:pPr>
            <w:r>
              <w:rPr>
                <w:rFonts w:ascii="Arial" w:hAnsi="Arial"/>
                <w:b/>
                <w:i w:val="0"/>
                <w:color w:val="892E2A"/>
                <w:sz w:val="30"/>
              </w:rPr>
              <w:t>Knusperkrone Franchise GmbH</w:t>
            </w:r>
          </w:p>
          <w:p>
            <w:pPr>
              <w:spacing w:after="0"/>
            </w:pPr>
            <w:r>
              <w:rPr>
                <w:rFonts w:ascii="Arial" w:hAnsi="Arial"/>
                <w:b w:val="0"/>
                <w:i w:val="0"/>
                <w:color w:val="58626C"/>
                <w:sz w:val="17"/>
              </w:rPr>
              <w:t>Expansion &amp; Partnergewinnung</w:t>
            </w:r>
          </w:p>
          <w:p>
            <w:pPr>
              <w:spacing w:after="0"/>
            </w:pPr>
            <w:r>
              <w:rPr>
                <w:rFonts w:ascii="Arial" w:hAnsi="Arial"/>
                <w:b w:val="0"/>
                <w:i w:val="0"/>
                <w:color w:val="58626C"/>
                <w:sz w:val="17"/>
              </w:rPr>
              <w:t>Handelshof 18 · 48155 Münster</w:t>
            </w:r>
          </w:p>
          <w:p>
            <w:pPr>
              <w:spacing w:after="0"/>
            </w:pPr>
            <w:r>
              <w:rPr>
                <w:rFonts w:ascii="Arial" w:hAnsi="Arial"/>
                <w:b w:val="0"/>
                <w:i w:val="0"/>
                <w:color w:val="58626C"/>
                <w:sz w:val="17"/>
              </w:rPr>
              <w:t>Ansprechpartnerin: Nora Thiel</w:t>
            </w:r>
          </w:p>
        </w:tc>
        <w:tc>
          <w:tcPr>
            <w:tcW w:type="dxa" w:w="3798"/>
            <w:vAlign w:val="center"/>
            <w:tcMar>
              <w:top w:w="100" w:type="dxa"/>
              <w:start w:w="120" w:type="dxa"/>
              <w:bottom w:w="100" w:type="dxa"/>
              <w:end w:w="120" w:type="dxa"/>
            </w:tcMar>
            <w:tcBorders>
              <w:bottom w:val="single" w:sz="10" w:color="892E2A"/>
            </w:tcBorders>
          </w:tcPr>
          <w:p>
            <w:pPr>
              <w:spacing w:after="0"/>
              <w:jc w:val="right"/>
            </w:pPr>
            <w:r>
              <w:rPr>
                <w:rFonts w:ascii="Arial" w:hAnsi="Arial"/>
                <w:b/>
                <w:i w:val="0"/>
                <w:color w:val="892E2A"/>
                <w:sz w:val="18"/>
              </w:rPr>
              <w:t>EXP-MSN-220715</w:t>
            </w:r>
          </w:p>
        </w:tc>
      </w:tr>
    </w:tbl>
    <w:p>
      <w:pPr>
        <w:spacing w:after="20"/>
      </w:pPr>
    </w:p>
    <w:p>
      <w:pPr>
        <w:spacing w:before="140" w:after="0"/>
      </w:pPr>
      <w:r>
        <w:rPr>
          <w:rFonts w:ascii="Arial" w:hAnsi="Arial"/>
          <w:b w:val="0"/>
          <w:i w:val="0"/>
          <w:color w:val="222E3A"/>
          <w:sz w:val="20"/>
        </w:rPr>
        <w:t>Frau Elif Karaca</w:t>
      </w:r>
      <w:r>
        <w:br/>
      </w:r>
      <w:r>
        <w:rPr>
          <w:rFonts w:ascii="Arial" w:hAnsi="Arial"/>
          <w:b w:val="0"/>
          <w:i w:val="0"/>
          <w:color w:val="222E3A"/>
          <w:sz w:val="20"/>
        </w:rPr>
        <w:t>Münster Gastro Karaca e.K. i. G.</w:t>
      </w:r>
      <w:r>
        <w:br/>
      </w:r>
      <w:r>
        <w:rPr>
          <w:rFonts w:ascii="Arial" w:hAnsi="Arial"/>
          <w:b w:val="0"/>
          <w:i w:val="0"/>
          <w:color w:val="222E3A"/>
          <w:sz w:val="20"/>
        </w:rPr>
        <w:t>Wolbecker Straße 114</w:t>
      </w:r>
      <w:r>
        <w:br/>
      </w:r>
      <w:r>
        <w:rPr>
          <w:rFonts w:ascii="Arial" w:hAnsi="Arial"/>
          <w:b w:val="0"/>
          <w:i w:val="0"/>
          <w:color w:val="222E3A"/>
          <w:sz w:val="20"/>
        </w:rPr>
        <w:t>48155 Münster</w:t>
      </w:r>
    </w:p>
    <w:tbl>
      <w:tblPr>
        <w:tblW w:type="auto" w:w="0"/>
        <w:jc w:val="left"/>
        <w:tblLayout w:type="fixed"/>
        <w:tblLook w:firstColumn="1" w:firstRow="1" w:lastColumn="0" w:lastRow="0" w:noHBand="0" w:noVBand="1" w:val="04A0"/>
      </w:tblPr>
      <w:tblGrid>
        <w:gridCol w:w="4677"/>
        <w:gridCol w:w="4677"/>
      </w:tblGrid>
      <w:tr>
        <w:tc>
          <w:tcPr>
            <w:tcW w:type="dxa" w:w="1984"/>
            <w:vAlign w:val="center"/>
            <w:tcMar>
              <w:top w:w="100" w:type="dxa"/>
              <w:start w:w="120" w:type="dxa"/>
              <w:bottom w:w="100" w:type="dxa"/>
              <w:end w:w="120" w:type="dxa"/>
            </w:tcMar>
          </w:tcPr>
          <w:p>
            <w:pPr>
              <w:spacing w:after="0"/>
            </w:pPr>
            <w:r>
              <w:rPr>
                <w:rFonts w:ascii="Arial" w:hAnsi="Arial"/>
                <w:b/>
                <w:i w:val="0"/>
                <w:color w:val="58626C"/>
                <w:sz w:val="18"/>
              </w:rPr>
              <w:t>Datum</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15. Juli 2022</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Vorgang</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EXP-MSN-220715</w:t>
            </w:r>
          </w:p>
        </w:tc>
      </w:tr>
      <w:tr>
        <w:tc>
          <w:tcPr>
            <w:tcW w:type="dxa" w:w="1984"/>
            <w:vAlign w:val="center"/>
            <w:tcMar>
              <w:top w:w="100" w:type="dxa"/>
              <w:start w:w="120" w:type="dxa"/>
              <w:bottom w:w="100" w:type="dxa"/>
              <w:end w:w="120" w:type="dxa"/>
            </w:tcMar>
          </w:tcPr>
          <w:p>
            <w:pPr>
              <w:spacing w:after="0"/>
            </w:pPr>
            <w:r>
              <w:rPr>
                <w:rFonts w:ascii="Arial" w:hAnsi="Arial"/>
                <w:b/>
                <w:i w:val="0"/>
                <w:color w:val="58626C"/>
                <w:sz w:val="18"/>
              </w:rPr>
              <w:t>Standort</w:t>
            </w:r>
          </w:p>
        </w:tc>
        <w:tc>
          <w:tcPr>
            <w:tcW w:type="dxa" w:w="7370"/>
            <w:vAlign w:val="center"/>
            <w:tcMar>
              <w:top w:w="100" w:type="dxa"/>
              <w:start w:w="120" w:type="dxa"/>
              <w:bottom w:w="100" w:type="dxa"/>
              <w:end w:w="120" w:type="dxa"/>
            </w:tcMar>
          </w:tcPr>
          <w:p>
            <w:pPr>
              <w:spacing w:after="0"/>
            </w:pPr>
            <w:r>
              <w:rPr>
                <w:rFonts w:ascii="Arial" w:hAnsi="Arial"/>
                <w:b w:val="0"/>
                <w:i w:val="0"/>
                <w:color w:val="222E3A"/>
                <w:sz w:val="19"/>
              </w:rPr>
              <w:t>Münster-Süd</w:t>
            </w:r>
          </w:p>
        </w:tc>
      </w:tr>
    </w:tbl>
    <w:p>
      <w:pPr>
        <w:spacing w:after="0"/>
      </w:pPr>
    </w:p>
    <w:p>
      <w:pPr>
        <w:spacing w:before="160" w:after="180"/>
      </w:pPr>
      <w:r>
        <w:rPr>
          <w:rFonts w:ascii="Arial" w:hAnsi="Arial"/>
          <w:b/>
          <w:i w:val="0"/>
          <w:color w:val="892E2A"/>
          <w:sz w:val="24"/>
        </w:rPr>
        <w:t>Planungsunterlage für Finanzierungsgespräch am 21. Juli 2022</w:t>
      </w:r>
    </w:p>
    <w:p>
      <w:pPr>
        <w:widowControl/>
      </w:pPr>
      <w:r>
        <w:rPr>
          <w:rFonts w:ascii="Arial" w:hAnsi="Arial"/>
          <w:b w:val="0"/>
          <w:i w:val="0"/>
          <w:color w:val="222E3A"/>
          <w:sz w:val="21"/>
        </w:rPr>
        <w:t>Sehr geehrte Frau Karaca,</w:t>
      </w:r>
    </w:p>
    <w:p>
      <w:pPr>
        <w:widowControl/>
      </w:pPr>
      <w:r>
        <w:rPr>
          <w:rFonts w:ascii="Arial" w:hAnsi="Arial"/>
          <w:b w:val="0"/>
          <w:i w:val="0"/>
          <w:color w:val="222E3A"/>
          <w:sz w:val="21"/>
        </w:rPr>
        <w:t>anbei erhalten Sie die in unserem Gespräch vom 7. Juli 2022 angekündigte Planungsunterlage. Sie wurde aus den Standortdaten, dem vorläufigen Mietangebot und den Betriebswerten der Vergleichsstandorte Osnabrück-West, Bielefeld-Senne und Hamm-Mitte zusammengestellt.</w:t>
      </w:r>
    </w:p>
    <w:p>
      <w:pPr>
        <w:pStyle w:val="Heading1"/>
      </w:pPr>
      <w:r>
        <w:t>1. Geplanter Kapitalbedarf</w:t>
      </w:r>
    </w:p>
    <w:tbl>
      <w:tblPr>
        <w:tblStyle w:val="TableGrid"/>
        <w:tblW w:type="auto" w:w="0"/>
        <w:jc w:val="left"/>
        <w:tblLayout w:type="fixed"/>
        <w:tblLook w:firstColumn="1" w:firstRow="1" w:lastColumn="0" w:lastRow="0" w:noHBand="0" w:noVBand="1" w:val="04A0"/>
      </w:tblPr>
      <w:tblGrid>
        <w:gridCol w:w="3118"/>
        <w:gridCol w:w="3118"/>
        <w:gridCol w:w="3118"/>
      </w:tblGrid>
      <w:tr>
        <w:tc>
          <w:tcPr>
            <w:tcW w:type="dxa" w:w="4139"/>
            <w:vAlign w:val="center"/>
            <w:tcMar>
              <w:top w:w="100" w:type="dxa"/>
              <w:start w:w="120" w:type="dxa"/>
              <w:bottom w:w="100" w:type="dxa"/>
              <w:end w:w="120" w:type="dxa"/>
            </w:tcMar>
            <w:shd w:fill="F2F4F5"/>
          </w:tcPr>
          <w:p>
            <w:pPr>
              <w:spacing w:after="0"/>
            </w:pPr>
            <w:r>
              <w:rPr>
                <w:rFonts w:ascii="Arial" w:hAnsi="Arial"/>
                <w:b/>
                <w:i w:val="0"/>
                <w:color w:val="892E2A"/>
                <w:sz w:val="17"/>
              </w:rPr>
              <w:t>Position</w:t>
            </w:r>
          </w:p>
        </w:tc>
        <w:tc>
          <w:tcPr>
            <w:tcW w:type="dxa" w:w="1814"/>
            <w:vAlign w:val="center"/>
            <w:tcMar>
              <w:top w:w="100" w:type="dxa"/>
              <w:start w:w="120" w:type="dxa"/>
              <w:bottom w:w="100" w:type="dxa"/>
              <w:end w:w="120" w:type="dxa"/>
            </w:tcMar>
            <w:shd w:fill="F2F4F5"/>
          </w:tcPr>
          <w:p>
            <w:pPr>
              <w:spacing w:after="0"/>
            </w:pPr>
            <w:r>
              <w:rPr>
                <w:rFonts w:ascii="Arial" w:hAnsi="Arial"/>
                <w:b/>
                <w:i w:val="0"/>
                <w:color w:val="892E2A"/>
                <w:sz w:val="17"/>
              </w:rPr>
              <w:t>Netto in Euro</w:t>
            </w:r>
          </w:p>
        </w:tc>
        <w:tc>
          <w:tcPr>
            <w:tcW w:type="dxa" w:w="3402"/>
            <w:vAlign w:val="center"/>
            <w:tcMar>
              <w:top w:w="100" w:type="dxa"/>
              <w:start w:w="120" w:type="dxa"/>
              <w:bottom w:w="100" w:type="dxa"/>
              <w:end w:w="120" w:type="dxa"/>
            </w:tcMar>
            <w:shd w:fill="F2F4F5"/>
          </w:tcPr>
          <w:p>
            <w:pPr>
              <w:spacing w:after="0"/>
            </w:pPr>
            <w:r>
              <w:rPr>
                <w:rFonts w:ascii="Arial" w:hAnsi="Arial"/>
                <w:b/>
                <w:i w:val="0"/>
                <w:color w:val="892E2A"/>
                <w:sz w:val="17"/>
              </w:rPr>
              <w:t>Grundlage</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Umbau und technische Gebäudeausrüstung</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168000,00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Kostenrahmen Aumann vom 12.07.2022</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Küche und Kühltechnik</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112000,00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Lieferangebot Gastroplan 4418</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Möblierung und Außenwerbung</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52000,00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Systempaket K-3</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KronenPOS, Netzwerk und Monitore</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18000,00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Systempreisliste 2022</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Erstausstattung Waren und Verpackung</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22000,00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Eröffnungsmenge für 14 Tage</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Eintrittsgebühr</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24000,00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Vertragsentwurf vom 05.07.2022</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Eröffnungswerbung und Schulung</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14000,00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Aktionsplan Münster-Süd</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Liquiditätsreserve</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10000,00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Mindestreserve laut Finanzierungsgespräch</w:t>
            </w:r>
          </w:p>
        </w:tc>
      </w:tr>
      <w:tr>
        <w:tc>
          <w:tcPr>
            <w:tcW w:type="dxa" w:w="4139"/>
            <w:vAlign w:val="center"/>
            <w:tcMar>
              <w:top w:w="100" w:type="dxa"/>
              <w:start w:w="120" w:type="dxa"/>
              <w:bottom w:w="100" w:type="dxa"/>
              <w:end w:w="120" w:type="dxa"/>
            </w:tcMar>
          </w:tcPr>
          <w:p>
            <w:pPr>
              <w:spacing w:after="0"/>
            </w:pPr>
            <w:r>
              <w:rPr>
                <w:rFonts w:ascii="Arial" w:hAnsi="Arial"/>
                <w:b w:val="0"/>
                <w:i w:val="0"/>
                <w:color w:val="222E3A"/>
                <w:sz w:val="17"/>
              </w:rPr>
              <w:t>Gesamt</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420000,00</w:t>
            </w:r>
          </w:p>
        </w:tc>
        <w:tc>
          <w:tcPr>
            <w:tcW w:type="dxa" w:w="3402"/>
            <w:vAlign w:val="center"/>
            <w:tcMar>
              <w:top w:w="100" w:type="dxa"/>
              <w:start w:w="120" w:type="dxa"/>
              <w:bottom w:w="100" w:type="dxa"/>
              <w:end w:w="120" w:type="dxa"/>
            </w:tcMar>
          </w:tcPr>
          <w:p>
            <w:pPr>
              <w:spacing w:after="0"/>
            </w:pPr>
            <w:r>
              <w:rPr>
                <w:rFonts w:ascii="Arial" w:hAnsi="Arial"/>
                <w:b w:val="0"/>
                <w:i w:val="0"/>
                <w:color w:val="222E3A"/>
                <w:sz w:val="17"/>
              </w:rPr>
              <w:t>ohne Umsatzsteuer</w:t>
            </w:r>
          </w:p>
        </w:tc>
      </w:tr>
    </w:tbl>
    <w:p>
      <w:pPr>
        <w:spacing w:after="20"/>
      </w:pPr>
    </w:p>
    <w:p>
      <w:pPr>
        <w:pStyle w:val="Heading1"/>
      </w:pPr>
      <w:r>
        <w:t>2. Umsatzannahmen für die ersten zwölf vollen Betriebsmonate</w:t>
      </w:r>
    </w:p>
    <w:p>
      <w:pPr>
        <w:widowControl/>
      </w:pPr>
      <w:r>
        <w:rPr>
          <w:rFonts w:ascii="Arial" w:hAnsi="Arial"/>
          <w:b w:val="0"/>
          <w:i w:val="0"/>
          <w:color w:val="222E3A"/>
          <w:sz w:val="21"/>
        </w:rPr>
        <w:t>Die Planung unterstellt eine Eröffnung am 15. März 2023, sechs volle Betriebstage pro Woche, durchschnittlich 356 Bons je Öffnungstag und einen Netto-Durchschnittsbon von 11,18 Euro. Für Lieferplattformen ist ein Anteil von 18 Prozent am Gesamtumsatz angesetzt.</w:t>
      </w:r>
    </w:p>
    <w:tbl>
      <w:tblPr>
        <w:tblStyle w:val="TableGrid"/>
        <w:tblW w:type="auto" w:w="0"/>
        <w:jc w:val="left"/>
        <w:tblLayout w:type="fixed"/>
        <w:tblLook w:firstColumn="1" w:firstRow="1" w:lastColumn="0" w:lastRow="0" w:noHBand="0" w:noVBand="1" w:val="04A0"/>
      </w:tblPr>
      <w:tblGrid>
        <w:gridCol w:w="1871"/>
        <w:gridCol w:w="1871"/>
        <w:gridCol w:w="1871"/>
        <w:gridCol w:w="1871"/>
        <w:gridCol w:w="1871"/>
      </w:tblGrid>
      <w:tr>
        <w:tc>
          <w:tcPr>
            <w:tcW w:type="dxa" w:w="1928"/>
            <w:vAlign w:val="center"/>
            <w:tcMar>
              <w:top w:w="100" w:type="dxa"/>
              <w:start w:w="120" w:type="dxa"/>
              <w:bottom w:w="100" w:type="dxa"/>
              <w:end w:w="120" w:type="dxa"/>
            </w:tcMar>
            <w:shd w:fill="F2F4F5"/>
          </w:tcPr>
          <w:p>
            <w:pPr>
              <w:spacing w:after="0"/>
            </w:pPr>
            <w:r>
              <w:rPr>
                <w:rFonts w:ascii="Arial" w:hAnsi="Arial"/>
                <w:b/>
                <w:i w:val="0"/>
                <w:color w:val="892E2A"/>
                <w:sz w:val="17"/>
              </w:rPr>
              <w:t>Zeitraum</w:t>
            </w:r>
          </w:p>
        </w:tc>
        <w:tc>
          <w:tcPr>
            <w:tcW w:type="dxa" w:w="1814"/>
            <w:vAlign w:val="center"/>
            <w:tcMar>
              <w:top w:w="100" w:type="dxa"/>
              <w:start w:w="120" w:type="dxa"/>
              <w:bottom w:w="100" w:type="dxa"/>
              <w:end w:w="120" w:type="dxa"/>
            </w:tcMar>
            <w:shd w:fill="F2F4F5"/>
          </w:tcPr>
          <w:p>
            <w:pPr>
              <w:spacing w:after="0"/>
            </w:pPr>
            <w:r>
              <w:rPr>
                <w:rFonts w:ascii="Arial" w:hAnsi="Arial"/>
                <w:b/>
                <w:i w:val="0"/>
                <w:color w:val="892E2A"/>
                <w:sz w:val="17"/>
              </w:rPr>
              <w:t>Nettoumsatz</w:t>
            </w:r>
          </w:p>
        </w:tc>
        <w:tc>
          <w:tcPr>
            <w:tcW w:type="dxa" w:w="1814"/>
            <w:vAlign w:val="center"/>
            <w:tcMar>
              <w:top w:w="100" w:type="dxa"/>
              <w:start w:w="120" w:type="dxa"/>
              <w:bottom w:w="100" w:type="dxa"/>
              <w:end w:w="120" w:type="dxa"/>
            </w:tcMar>
            <w:shd w:fill="F2F4F5"/>
          </w:tcPr>
          <w:p>
            <w:pPr>
              <w:spacing w:after="0"/>
            </w:pPr>
            <w:r>
              <w:rPr>
                <w:rFonts w:ascii="Arial" w:hAnsi="Arial"/>
                <w:b/>
                <w:i w:val="0"/>
                <w:color w:val="892E2A"/>
                <w:sz w:val="17"/>
              </w:rPr>
              <w:t>Wareneinsatz</w:t>
            </w:r>
          </w:p>
        </w:tc>
        <w:tc>
          <w:tcPr>
            <w:tcW w:type="dxa" w:w="1701"/>
            <w:vAlign w:val="center"/>
            <w:tcMar>
              <w:top w:w="100" w:type="dxa"/>
              <w:start w:w="120" w:type="dxa"/>
              <w:bottom w:w="100" w:type="dxa"/>
              <w:end w:w="120" w:type="dxa"/>
            </w:tcMar>
            <w:shd w:fill="F2F4F5"/>
          </w:tcPr>
          <w:p>
            <w:pPr>
              <w:spacing w:after="0"/>
            </w:pPr>
            <w:r>
              <w:rPr>
                <w:rFonts w:ascii="Arial" w:hAnsi="Arial"/>
                <w:b/>
                <w:i w:val="0"/>
                <w:color w:val="892E2A"/>
                <w:sz w:val="17"/>
              </w:rPr>
              <w:t>Personal</w:t>
            </w:r>
          </w:p>
        </w:tc>
        <w:tc>
          <w:tcPr>
            <w:tcW w:type="dxa" w:w="2098"/>
            <w:vAlign w:val="center"/>
            <w:tcMar>
              <w:top w:w="100" w:type="dxa"/>
              <w:start w:w="120" w:type="dxa"/>
              <w:bottom w:w="100" w:type="dxa"/>
              <w:end w:w="120" w:type="dxa"/>
            </w:tcMar>
            <w:shd w:fill="F2F4F5"/>
          </w:tcPr>
          <w:p>
            <w:pPr>
              <w:spacing w:after="0"/>
            </w:pPr>
            <w:r>
              <w:rPr>
                <w:rFonts w:ascii="Arial" w:hAnsi="Arial"/>
                <w:b/>
                <w:i w:val="0"/>
                <w:color w:val="892E2A"/>
                <w:sz w:val="17"/>
              </w:rPr>
              <w:t>Standortergebnis vor Finanzierung</w:t>
            </w:r>
          </w:p>
        </w:tc>
      </w:tr>
      <w:tr>
        <w:tc>
          <w:tcPr>
            <w:tcW w:type="dxa" w:w="1928"/>
            <w:vAlign w:val="center"/>
            <w:tcMar>
              <w:top w:w="100" w:type="dxa"/>
              <w:start w:w="120" w:type="dxa"/>
              <w:bottom w:w="100" w:type="dxa"/>
              <w:end w:w="120" w:type="dxa"/>
            </w:tcMar>
          </w:tcPr>
          <w:p>
            <w:pPr>
              <w:spacing w:after="0"/>
            </w:pPr>
            <w:r>
              <w:rPr>
                <w:rFonts w:ascii="Arial" w:hAnsi="Arial"/>
                <w:b w:val="0"/>
                <w:i w:val="0"/>
                <w:color w:val="222E3A"/>
                <w:sz w:val="17"/>
              </w:rPr>
              <w:t>Monate 1 bis 3</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258000,00</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85000,00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99000,00</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18000,00</w:t>
            </w:r>
          </w:p>
        </w:tc>
      </w:tr>
      <w:tr>
        <w:tc>
          <w:tcPr>
            <w:tcW w:type="dxa" w:w="1928"/>
            <w:vAlign w:val="center"/>
            <w:tcMar>
              <w:top w:w="100" w:type="dxa"/>
              <w:start w:w="120" w:type="dxa"/>
              <w:bottom w:w="100" w:type="dxa"/>
              <w:end w:w="120" w:type="dxa"/>
            </w:tcMar>
          </w:tcPr>
          <w:p>
            <w:pPr>
              <w:spacing w:after="0"/>
            </w:pPr>
            <w:r>
              <w:rPr>
                <w:rFonts w:ascii="Arial" w:hAnsi="Arial"/>
                <w:b w:val="0"/>
                <w:i w:val="0"/>
                <w:color w:val="222E3A"/>
                <w:sz w:val="17"/>
              </w:rPr>
              <w:t>Monate 4 bis 6</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301000,00</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96300,00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103500,00</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39500,00</w:t>
            </w:r>
          </w:p>
        </w:tc>
      </w:tr>
      <w:tr>
        <w:tc>
          <w:tcPr>
            <w:tcW w:type="dxa" w:w="1928"/>
            <w:vAlign w:val="center"/>
            <w:tcMar>
              <w:top w:w="100" w:type="dxa"/>
              <w:start w:w="120" w:type="dxa"/>
              <w:bottom w:w="100" w:type="dxa"/>
              <w:end w:w="120" w:type="dxa"/>
            </w:tcMar>
          </w:tcPr>
          <w:p>
            <w:pPr>
              <w:spacing w:after="0"/>
            </w:pPr>
            <w:r>
              <w:rPr>
                <w:rFonts w:ascii="Arial" w:hAnsi="Arial"/>
                <w:b w:val="0"/>
                <w:i w:val="0"/>
                <w:color w:val="222E3A"/>
                <w:sz w:val="17"/>
              </w:rPr>
              <w:t>Monate 7 bis 9</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326000,00</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104300,00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108000,00</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51200,00</w:t>
            </w:r>
          </w:p>
        </w:tc>
      </w:tr>
      <w:tr>
        <w:tc>
          <w:tcPr>
            <w:tcW w:type="dxa" w:w="1928"/>
            <w:vAlign w:val="center"/>
            <w:tcMar>
              <w:top w:w="100" w:type="dxa"/>
              <w:start w:w="120" w:type="dxa"/>
              <w:bottom w:w="100" w:type="dxa"/>
              <w:end w:w="120" w:type="dxa"/>
            </w:tcMar>
          </w:tcPr>
          <w:p>
            <w:pPr>
              <w:spacing w:after="0"/>
            </w:pPr>
            <w:r>
              <w:rPr>
                <w:rFonts w:ascii="Arial" w:hAnsi="Arial"/>
                <w:b w:val="0"/>
                <w:i w:val="0"/>
                <w:color w:val="222E3A"/>
                <w:sz w:val="17"/>
              </w:rPr>
              <w:t>Monate 10 bis 12</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355000,00</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113600,00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114000,00</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65300,00</w:t>
            </w:r>
          </w:p>
        </w:tc>
      </w:tr>
      <w:tr>
        <w:tc>
          <w:tcPr>
            <w:tcW w:type="dxa" w:w="1928"/>
            <w:vAlign w:val="center"/>
            <w:tcMar>
              <w:top w:w="100" w:type="dxa"/>
              <w:start w:w="120" w:type="dxa"/>
              <w:bottom w:w="100" w:type="dxa"/>
              <w:end w:w="120" w:type="dxa"/>
            </w:tcMar>
          </w:tcPr>
          <w:p>
            <w:pPr>
              <w:spacing w:after="0"/>
            </w:pPr>
            <w:r>
              <w:rPr>
                <w:rFonts w:ascii="Arial" w:hAnsi="Arial"/>
                <w:b w:val="0"/>
                <w:i w:val="0"/>
                <w:color w:val="222E3A"/>
                <w:sz w:val="17"/>
              </w:rPr>
              <w:t>Gesamt</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1240000,00</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399200,00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424500,00</w:t>
            </w:r>
          </w:p>
        </w:tc>
        <w:tc>
          <w:tcPr>
            <w:tcW w:type="dxa" w:w="2098"/>
            <w:vAlign w:val="center"/>
            <w:tcMar>
              <w:top w:w="100" w:type="dxa"/>
              <w:start w:w="120" w:type="dxa"/>
              <w:bottom w:w="100" w:type="dxa"/>
              <w:end w:w="120" w:type="dxa"/>
            </w:tcMar>
          </w:tcPr>
          <w:p>
            <w:pPr>
              <w:spacing w:after="0"/>
            </w:pPr>
            <w:r>
              <w:rPr>
                <w:rFonts w:ascii="Arial" w:hAnsi="Arial"/>
                <w:b w:val="0"/>
                <w:i w:val="0"/>
                <w:color w:val="222E3A"/>
                <w:sz w:val="17"/>
              </w:rPr>
              <w:t>174000,00</w:t>
            </w:r>
          </w:p>
        </w:tc>
      </w:tr>
    </w:tbl>
    <w:p>
      <w:pPr>
        <w:spacing w:after="20"/>
      </w:pPr>
    </w:p>
    <w:p>
      <w:pPr>
        <w:pStyle w:val="Heading1"/>
      </w:pPr>
      <w:r>
        <w:t>3. Laufende Aufwendungen in der Planung</w:t>
      </w:r>
    </w:p>
    <w:p>
      <w:pPr>
        <w:widowControl/>
      </w:pPr>
      <w:r>
        <w:rPr>
          <w:rFonts w:ascii="Arial" w:hAnsi="Arial"/>
          <w:b w:val="0"/>
          <w:i w:val="0"/>
          <w:color w:val="222E3A"/>
          <w:sz w:val="21"/>
        </w:rPr>
        <w:t>Neben Wareneinsatz und Personal wurden eine Jahresnettomiete von 108000,00 Euro, Energiekosten von 31800,00 Euro, Franchisegebühren von 62000,00 Euro, Marketingbeiträge von 24800,00 Euro sowie sonstige betriebliche Aufwendungen von 15500,00 Euro berücksichtigt.</w:t>
      </w:r>
    </w:p>
    <w:p>
      <w:pPr>
        <w:widowControl/>
      </w:pPr>
      <w:r>
        <w:rPr>
          <w:rFonts w:ascii="Arial" w:hAnsi="Arial"/>
          <w:b w:val="0"/>
          <w:i w:val="0"/>
          <w:color w:val="222E3A"/>
          <w:sz w:val="21"/>
        </w:rPr>
        <w:t>Der kalkulierte Unternehmerlohn von 42000,00 Euro ist im Personalansatz enthalten. Zins und Tilgung einer Finanzierung sind in der Spalte Standortergebnis noch nicht abgezogen.</w:t>
      </w:r>
    </w:p>
    <w:p>
      <w:pPr>
        <w:pStyle w:val="Heading1"/>
      </w:pPr>
      <w:r>
        <w:t>4. Vergleichswerte</w:t>
      </w:r>
    </w:p>
    <w:tbl>
      <w:tblPr>
        <w:tblStyle w:val="TableGrid"/>
        <w:tblW w:type="auto" w:w="0"/>
        <w:jc w:val="left"/>
        <w:tblLayout w:type="fixed"/>
        <w:tblLook w:firstColumn="1" w:firstRow="1" w:lastColumn="0" w:lastRow="0" w:noHBand="0" w:noVBand="1" w:val="04A0"/>
      </w:tblPr>
      <w:tblGrid>
        <w:gridCol w:w="1871"/>
        <w:gridCol w:w="1871"/>
        <w:gridCol w:w="1871"/>
        <w:gridCol w:w="1871"/>
        <w:gridCol w:w="1871"/>
      </w:tblGrid>
      <w:tr>
        <w:tc>
          <w:tcPr>
            <w:tcW w:type="dxa" w:w="2154"/>
            <w:vAlign w:val="center"/>
            <w:tcMar>
              <w:top w:w="100" w:type="dxa"/>
              <w:start w:w="120" w:type="dxa"/>
              <w:bottom w:w="100" w:type="dxa"/>
              <w:end w:w="120" w:type="dxa"/>
            </w:tcMar>
            <w:shd w:fill="F2F4F5"/>
          </w:tcPr>
          <w:p>
            <w:pPr>
              <w:spacing w:after="0"/>
            </w:pPr>
            <w:r>
              <w:rPr>
                <w:rFonts w:ascii="Arial" w:hAnsi="Arial"/>
                <w:b/>
                <w:i w:val="0"/>
                <w:color w:val="892E2A"/>
                <w:sz w:val="17"/>
              </w:rPr>
              <w:t>Standort</w:t>
            </w:r>
          </w:p>
        </w:tc>
        <w:tc>
          <w:tcPr>
            <w:tcW w:type="dxa" w:w="1814"/>
            <w:vAlign w:val="center"/>
            <w:tcMar>
              <w:top w:w="100" w:type="dxa"/>
              <w:start w:w="120" w:type="dxa"/>
              <w:bottom w:w="100" w:type="dxa"/>
              <w:end w:w="120" w:type="dxa"/>
            </w:tcMar>
            <w:shd w:fill="F2F4F5"/>
          </w:tcPr>
          <w:p>
            <w:pPr>
              <w:spacing w:after="0"/>
            </w:pPr>
            <w:r>
              <w:rPr>
                <w:rFonts w:ascii="Arial" w:hAnsi="Arial"/>
                <w:b/>
                <w:i w:val="0"/>
                <w:color w:val="892E2A"/>
                <w:sz w:val="17"/>
              </w:rPr>
              <w:t>Erstes volles Jahr</w:t>
            </w:r>
          </w:p>
        </w:tc>
        <w:tc>
          <w:tcPr>
            <w:tcW w:type="dxa" w:w="1814"/>
            <w:vAlign w:val="center"/>
            <w:tcMar>
              <w:top w:w="100" w:type="dxa"/>
              <w:start w:w="120" w:type="dxa"/>
              <w:bottom w:w="100" w:type="dxa"/>
              <w:end w:w="120" w:type="dxa"/>
            </w:tcMar>
            <w:shd w:fill="F2F4F5"/>
          </w:tcPr>
          <w:p>
            <w:pPr>
              <w:spacing w:after="0"/>
            </w:pPr>
            <w:r>
              <w:rPr>
                <w:rFonts w:ascii="Arial" w:hAnsi="Arial"/>
                <w:b/>
                <w:i w:val="0"/>
                <w:color w:val="892E2A"/>
                <w:sz w:val="17"/>
              </w:rPr>
              <w:t>Nettoumsatz</w:t>
            </w:r>
          </w:p>
        </w:tc>
        <w:tc>
          <w:tcPr>
            <w:tcW w:type="dxa" w:w="1701"/>
            <w:vAlign w:val="center"/>
            <w:tcMar>
              <w:top w:w="100" w:type="dxa"/>
              <w:start w:w="120" w:type="dxa"/>
              <w:bottom w:w="100" w:type="dxa"/>
              <w:end w:w="120" w:type="dxa"/>
            </w:tcMar>
            <w:shd w:fill="F2F4F5"/>
          </w:tcPr>
          <w:p>
            <w:pPr>
              <w:spacing w:after="0"/>
            </w:pPr>
            <w:r>
              <w:rPr>
                <w:rFonts w:ascii="Arial" w:hAnsi="Arial"/>
                <w:b/>
                <w:i w:val="0"/>
                <w:color w:val="892E2A"/>
                <w:sz w:val="17"/>
              </w:rPr>
              <w:t>Bons pro Tag</w:t>
            </w:r>
          </w:p>
        </w:tc>
        <w:tc>
          <w:tcPr>
            <w:tcW w:type="dxa" w:w="1871"/>
            <w:vAlign w:val="center"/>
            <w:tcMar>
              <w:top w:w="100" w:type="dxa"/>
              <w:start w:w="120" w:type="dxa"/>
              <w:bottom w:w="100" w:type="dxa"/>
              <w:end w:w="120" w:type="dxa"/>
            </w:tcMar>
            <w:shd w:fill="F2F4F5"/>
          </w:tcPr>
          <w:p>
            <w:pPr>
              <w:spacing w:after="0"/>
            </w:pPr>
            <w:r>
              <w:rPr>
                <w:rFonts w:ascii="Arial" w:hAnsi="Arial"/>
                <w:b/>
                <w:i w:val="0"/>
                <w:color w:val="892E2A"/>
                <w:sz w:val="17"/>
              </w:rPr>
              <w:t>Durchschnittsbon</w:t>
            </w:r>
          </w:p>
        </w:tc>
      </w:tr>
      <w:tr>
        <w:tc>
          <w:tcPr>
            <w:tcW w:type="dxa" w:w="2154"/>
            <w:vAlign w:val="center"/>
            <w:tcMar>
              <w:top w:w="100" w:type="dxa"/>
              <w:start w:w="120" w:type="dxa"/>
              <w:bottom w:w="100" w:type="dxa"/>
              <w:end w:w="120" w:type="dxa"/>
            </w:tcMar>
          </w:tcPr>
          <w:p>
            <w:pPr>
              <w:spacing w:after="0"/>
            </w:pPr>
            <w:r>
              <w:rPr>
                <w:rFonts w:ascii="Arial" w:hAnsi="Arial"/>
                <w:b w:val="0"/>
                <w:i w:val="0"/>
                <w:color w:val="222E3A"/>
                <w:sz w:val="17"/>
              </w:rPr>
              <w:t>Osnabrück-West</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2020</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1168000,00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341</w:t>
            </w:r>
          </w:p>
        </w:tc>
        <w:tc>
          <w:tcPr>
            <w:tcW w:type="dxa" w:w="1871"/>
            <w:vAlign w:val="center"/>
            <w:tcMar>
              <w:top w:w="100" w:type="dxa"/>
              <w:start w:w="120" w:type="dxa"/>
              <w:bottom w:w="100" w:type="dxa"/>
              <w:end w:w="120" w:type="dxa"/>
            </w:tcMar>
          </w:tcPr>
          <w:p>
            <w:pPr>
              <w:spacing w:after="0"/>
            </w:pPr>
            <w:r>
              <w:rPr>
                <w:rFonts w:ascii="Arial" w:hAnsi="Arial"/>
                <w:b w:val="0"/>
                <w:i w:val="0"/>
                <w:color w:val="222E3A"/>
                <w:sz w:val="17"/>
              </w:rPr>
              <w:t>10,91</w:t>
            </w:r>
          </w:p>
        </w:tc>
      </w:tr>
      <w:tr>
        <w:tc>
          <w:tcPr>
            <w:tcW w:type="dxa" w:w="2154"/>
            <w:vAlign w:val="center"/>
            <w:tcMar>
              <w:top w:w="100" w:type="dxa"/>
              <w:start w:w="120" w:type="dxa"/>
              <w:bottom w:w="100" w:type="dxa"/>
              <w:end w:w="120" w:type="dxa"/>
            </w:tcMar>
          </w:tcPr>
          <w:p>
            <w:pPr>
              <w:spacing w:after="0"/>
            </w:pPr>
            <w:r>
              <w:rPr>
                <w:rFonts w:ascii="Arial" w:hAnsi="Arial"/>
                <w:b w:val="0"/>
                <w:i w:val="0"/>
                <w:color w:val="222E3A"/>
                <w:sz w:val="17"/>
              </w:rPr>
              <w:t>Bielefeld-Senne</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2021</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1294000,00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369</w:t>
            </w:r>
          </w:p>
        </w:tc>
        <w:tc>
          <w:tcPr>
            <w:tcW w:type="dxa" w:w="1871"/>
            <w:vAlign w:val="center"/>
            <w:tcMar>
              <w:top w:w="100" w:type="dxa"/>
              <w:start w:w="120" w:type="dxa"/>
              <w:bottom w:w="100" w:type="dxa"/>
              <w:end w:w="120" w:type="dxa"/>
            </w:tcMar>
          </w:tcPr>
          <w:p>
            <w:pPr>
              <w:spacing w:after="0"/>
            </w:pPr>
            <w:r>
              <w:rPr>
                <w:rFonts w:ascii="Arial" w:hAnsi="Arial"/>
                <w:b w:val="0"/>
                <w:i w:val="0"/>
                <w:color w:val="222E3A"/>
                <w:sz w:val="17"/>
              </w:rPr>
              <w:t>11,24</w:t>
            </w:r>
          </w:p>
        </w:tc>
      </w:tr>
      <w:tr>
        <w:tc>
          <w:tcPr>
            <w:tcW w:type="dxa" w:w="2154"/>
            <w:vAlign w:val="center"/>
            <w:tcMar>
              <w:top w:w="100" w:type="dxa"/>
              <w:start w:w="120" w:type="dxa"/>
              <w:bottom w:w="100" w:type="dxa"/>
              <w:end w:w="120" w:type="dxa"/>
            </w:tcMar>
          </w:tcPr>
          <w:p>
            <w:pPr>
              <w:spacing w:after="0"/>
            </w:pPr>
            <w:r>
              <w:rPr>
                <w:rFonts w:ascii="Arial" w:hAnsi="Arial"/>
                <w:b w:val="0"/>
                <w:i w:val="0"/>
                <w:color w:val="222E3A"/>
                <w:sz w:val="17"/>
              </w:rPr>
              <w:t>Hamm-Mitte</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2021</w:t>
            </w:r>
          </w:p>
        </w:tc>
        <w:tc>
          <w:tcPr>
            <w:tcW w:type="dxa" w:w="1814"/>
            <w:vAlign w:val="center"/>
            <w:tcMar>
              <w:top w:w="100" w:type="dxa"/>
              <w:start w:w="120" w:type="dxa"/>
              <w:bottom w:w="100" w:type="dxa"/>
              <w:end w:w="120" w:type="dxa"/>
            </w:tcMar>
          </w:tcPr>
          <w:p>
            <w:pPr>
              <w:spacing w:after="0"/>
            </w:pPr>
            <w:r>
              <w:rPr>
                <w:rFonts w:ascii="Arial" w:hAnsi="Arial"/>
                <w:b w:val="0"/>
                <w:i w:val="0"/>
                <w:color w:val="222E3A"/>
                <w:sz w:val="17"/>
              </w:rPr>
              <w:t>1219000,00</w:t>
            </w:r>
          </w:p>
        </w:tc>
        <w:tc>
          <w:tcPr>
            <w:tcW w:type="dxa" w:w="1701"/>
            <w:vAlign w:val="center"/>
            <w:tcMar>
              <w:top w:w="100" w:type="dxa"/>
              <w:start w:w="120" w:type="dxa"/>
              <w:bottom w:w="100" w:type="dxa"/>
              <w:end w:w="120" w:type="dxa"/>
            </w:tcMar>
          </w:tcPr>
          <w:p>
            <w:pPr>
              <w:spacing w:after="0"/>
            </w:pPr>
            <w:r>
              <w:rPr>
                <w:rFonts w:ascii="Arial" w:hAnsi="Arial"/>
                <w:b w:val="0"/>
                <w:i w:val="0"/>
                <w:color w:val="222E3A"/>
                <w:sz w:val="17"/>
              </w:rPr>
              <w:t>352</w:t>
            </w:r>
          </w:p>
        </w:tc>
        <w:tc>
          <w:tcPr>
            <w:tcW w:type="dxa" w:w="1871"/>
            <w:vAlign w:val="center"/>
            <w:tcMar>
              <w:top w:w="100" w:type="dxa"/>
              <w:start w:w="120" w:type="dxa"/>
              <w:bottom w:w="100" w:type="dxa"/>
              <w:end w:w="120" w:type="dxa"/>
            </w:tcMar>
          </w:tcPr>
          <w:p>
            <w:pPr>
              <w:spacing w:after="0"/>
            </w:pPr>
            <w:r>
              <w:rPr>
                <w:rFonts w:ascii="Arial" w:hAnsi="Arial"/>
                <w:b w:val="0"/>
                <w:i w:val="0"/>
                <w:color w:val="222E3A"/>
                <w:sz w:val="17"/>
              </w:rPr>
              <w:t>11,07</w:t>
            </w:r>
          </w:p>
        </w:tc>
      </w:tr>
    </w:tbl>
    <w:p>
      <w:pPr>
        <w:spacing w:after="20"/>
      </w:pPr>
    </w:p>
    <w:p>
      <w:pPr>
        <w:pStyle w:val="Heading1"/>
      </w:pPr>
      <w:r>
        <w:t>5. Noch offene Eingabewerte</w:t>
      </w:r>
    </w:p>
    <w:p>
      <w:pPr>
        <w:widowControl/>
      </w:pPr>
      <w:r>
        <w:rPr>
          <w:rFonts w:ascii="Arial" w:hAnsi="Arial"/>
          <w:b w:val="0"/>
          <w:i w:val="0"/>
          <w:color w:val="222E3A"/>
          <w:sz w:val="21"/>
        </w:rPr>
        <w:t>Die endgültige Höhe der Nebenkostenvorauszahlung, die Finanzierungskonditionen, die Kosten der Fettabscheideranlage und die Genehmigung der Außenplätze lagen am 15. Juli 2022 noch nicht vor. In der Datei wurden hierfür die im Termin genannten Schätzwerte verwendet.</w:t>
      </w:r>
    </w:p>
    <w:p>
      <w:pPr>
        <w:widowControl/>
      </w:pPr>
      <w:r>
        <w:rPr>
          <w:rFonts w:ascii="Arial" w:hAnsi="Arial"/>
          <w:b w:val="0"/>
          <w:i w:val="0"/>
          <w:color w:val="222E3A"/>
          <w:sz w:val="21"/>
        </w:rPr>
        <w:t>Bitte bringen Sie zum Finanzierungsgespräch das Mietangebot, die Eigenmittelnachweise über 120000,00 Euro und die aktuelle Schufa-Auskunft mit.</w:t>
      </w:r>
    </w:p>
    <w:p/>
    <w:p>
      <w:pPr>
        <w:spacing w:after="40"/>
      </w:pPr>
      <w:r>
        <w:rPr>
          <w:rFonts w:ascii="Arial" w:hAnsi="Arial"/>
          <w:b w:val="0"/>
          <w:i w:val="0"/>
          <w:color w:val="222E3A"/>
          <w:sz w:val="21"/>
        </w:rPr>
        <w:t>Mit freundlichen Grüßen</w:t>
      </w:r>
    </w:p>
    <w:p>
      <w:pPr>
        <w:spacing w:after="0"/>
      </w:pPr>
      <w:r>
        <w:rPr>
          <w:rFonts w:ascii="Arial" w:hAnsi="Arial"/>
          <w:b/>
          <w:i w:val="0"/>
          <w:color w:val="222E3A"/>
          <w:sz w:val="19"/>
        </w:rPr>
        <w:t>Nora Thiel</w:t>
      </w:r>
    </w:p>
    <w:p>
      <w:pPr>
        <w:spacing w:after="0"/>
      </w:pPr>
      <w:r>
        <w:rPr>
          <w:rFonts w:ascii="Arial" w:hAnsi="Arial"/>
          <w:b w:val="0"/>
          <w:i w:val="0"/>
          <w:color w:val="222E3A"/>
          <w:sz w:val="19"/>
        </w:rPr>
        <w:t>Leitung Expansion &amp; Partnergewinnung</w:t>
      </w:r>
    </w:p>
    <w:sectPr w:rsidR="00FC693F" w:rsidRPr="0006063C" w:rsidSect="00034616">
      <w:headerReference w:type="default" r:id="rId9"/>
      <w:footerReference w:type="default" r:id="rId10"/>
      <w:pgSz w:w="11906" w:h="16838"/>
      <w:pgMar w:top="1219" w:right="1219" w:bottom="1077"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8626C"/>
        <w:sz w:val="17"/>
      </w:rPr>
      <w:t xml:space="preserve">EXP-MSN-220715  |  Seite </w:t>
    </w:r>
    <w:r>
      <w:rPr>
        <w:rFonts w:ascii="Arial" w:hAnsi="Arial"/>
        <w:b w:val="0"/>
        <w:i w:val="0"/>
        <w:color w:val="58626C"/>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892E2A"/>
        <w:sz w:val="17"/>
      </w:rPr>
      <w:t>INVESTITIONS- UND ERTRAGSVORSCHAU</w:t>
    </w:r>
    <w:r>
      <w:rPr>
        <w:rFonts w:ascii="Arial" w:hAnsi="Arial"/>
        <w:b w:val="0"/>
        <w:i w:val="0"/>
        <w:color w:val="58626C"/>
        <w:sz w:val="17"/>
      </w:rPr>
      <w:t xml:space="preserve">  |  EXP-MSN-220715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892E2A"/>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892E2A"/>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92E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Investitions- und Ertragsvorschau Münster-Süd</dc:title>
  <dc:subject>Geschäftsunterlage</dc:subject>
  <dc:creator>Knusperkrone Franchise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