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Einspruch / Änderungsantrag / AdV</w:t>
      </w:r>
    </w:p>
    <w:p>
      <w:pPr>
        <w:jc w:val="left"/>
      </w:pPr>
      <w:r>
        <w:rPr>
          <w:b/>
        </w:rPr>
        <w:t>An das Finanzamt Trier</w:t>
      </w:r>
    </w:p>
    <w:p>
      <w:pPr>
        <w:jc w:val="left"/>
      </w:pPr>
      <w:r>
        <w:rPr>
          <w:b/>
        </w:rPr>
        <w:t>Bewertungsstelle</w:t>
      </w:r>
    </w:p>
    <w:p>
      <w:pPr>
        <w:jc w:val="left"/>
      </w:pPr>
      <w:r>
        <w:rPr>
          <w:b/>
        </w:rPr>
        <w:t>Hindenburgstraße 32</w:t>
      </w:r>
    </w:p>
    <w:p>
      <w:pPr>
        <w:jc w:val="left"/>
      </w:pPr>
      <w:r>
        <w:rPr>
          <w:b/>
        </w:rPr>
        <w:t>54295 Trier</w:t>
      </w:r>
    </w:p>
    <w:p>
      <w:pPr>
        <w:jc w:val="left"/>
      </w:pPr>
      <w:r>
        <w:rPr>
          <w:b/>
        </w:rPr>
        <w:t>Über:</w:t>
      </w:r>
    </w:p>
    <w:p>
      <w:pPr>
        <w:jc w:val="left"/>
      </w:pPr>
      <w:r>
        <w:t>Kanzlei Klotzkette Steuerrecht</w:t>
      </w:r>
    </w:p>
    <w:p>
      <w:pPr>
        <w:jc w:val="left"/>
      </w:pPr>
      <w:r>
        <w:t>RAin Brigitte Hauschulz-Müller, Fachanwältin für Steuerrecht</w:t>
      </w:r>
    </w:p>
    <w:p>
      <w:pPr>
        <w:jc w:val="left"/>
      </w:pPr>
      <w:r>
        <w:t>Hauptstraße 218, 54290 Trier</w:t>
      </w:r>
    </w:p>
    <w:p>
      <w:pPr>
        <w:jc w:val="left"/>
      </w:pPr>
      <w:r>
        <w:t>Telefon 0651/97 04 88-0</w:t>
      </w:r>
    </w:p>
    <w:p>
      <w:pPr>
        <w:jc w:val="left"/>
      </w:pPr>
      <w:r>
        <w:t>Telefax 0651/97 04 88-9</w:t>
      </w:r>
    </w:p>
    <w:p>
      <w:pPr>
        <w:jc w:val="left"/>
      </w:pPr>
      <w:r>
        <w:t>Mail: hauschulz@klotzkette-stb.de</w:t>
      </w:r>
    </w:p>
    <w:p>
      <w:pPr>
        <w:jc w:val="left"/>
      </w:pPr>
      <w:r>
        <w:rPr>
          <w:b/>
        </w:rPr>
        <w:t>Mandantin:</w:t>
      </w:r>
    </w:p>
    <w:p>
      <w:pPr>
        <w:jc w:val="left"/>
      </w:pPr>
      <w:r>
        <w:t>WEG Rosenwinkel 14/16, 54290 Trier, vertreten durch die Rosenwinkel Hausverwaltung GmbH, Brückenstraße 19, 54290 Trier, vertreten durch die Geschäftsführerin Frau Mathilde Kreutzer</w:t>
      </w:r>
    </w:p>
    <w:p>
      <w:pPr>
        <w:jc w:val="left"/>
      </w:pPr>
      <w:r>
        <w:rPr>
          <w:b/>
        </w:rPr>
        <w:t>Vollmacht:</w:t>
      </w:r>
      <w:r>
        <w:t xml:space="preserve"> Anlage 1 (gesetzliche Vertretung WEG durch Verwalterin nach § 9b WEG; Vollmacht WEG-Beschluss vom 04.06.2026 -- erforderlich, wenn Eigentümerversammlung das Vorgehen mandatiert; sonst Notvollmacht der Verwaltung)</w:t>
      </w:r>
    </w:p>
    <w:p>
      <w:pPr>
        <w:jc w:val="left"/>
      </w:pPr>
      <w:r>
        <w:rPr>
          <w:b/>
        </w:rPr>
        <w:t>Aktenzeichen FA:</w:t>
      </w:r>
      <w:r>
        <w:t xml:space="preserve"> 42/318/00917 GWB</w:t>
      </w:r>
    </w:p>
    <w:p>
      <w:pPr>
        <w:jc w:val="left"/>
      </w:pPr>
      <w:r>
        <w:rPr>
          <w:b/>
        </w:rPr>
        <w:t>Aktenzeichen Kanzlei:</w:t>
      </w:r>
      <w:r>
        <w:t xml:space="preserve"> KGK 2026-118 / Rosenwinkel</w:t>
      </w:r>
    </w:p>
    <w:p>
      <w:pPr>
        <w:jc w:val="left"/>
      </w:pPr>
      <w:r>
        <w:rPr>
          <w:b/>
        </w:rPr>
        <w:t>Betreff:</w:t>
      </w:r>
      <w:r>
        <w:t xml:space="preserve"> Rosenwinkel 14/16, 54290 Trier</w:t>
      </w:r>
    </w:p>
    <w:p>
      <w:pPr>
        <w:jc w:val="left"/>
      </w:pPr>
      <w:r>
        <w:rPr>
          <w:b/>
        </w:rPr>
        <w:t>Bezug:</w:t>
      </w:r>
      <w:r>
        <w:t xml:space="preserve"> Bescheid über die Feststellung des Grundsteuerwerts auf den 01.01.2022 vom 22.08.2024; Grundsteuermessbescheid vom 22.08.2024</w:t>
      </w:r>
    </w:p>
    <w:p>
      <w:pPr>
        <w:jc w:val="left"/>
      </w:pPr>
      <w:r>
        <w:t>Sehr geehrte Damen und Herren,</w:t>
      </w:r>
    </w:p>
    <w:p>
      <w:pPr>
        <w:jc w:val="left"/>
      </w:pPr>
      <w:r>
        <w:t>namens und im Auftrag der Eigentümergemeinschaft Rosenwinkel 14/16 -- vertreten durch die Verwalterin Rosenwinkel Hausverwaltung GmbH -- beantragen wir die</w:t>
      </w:r>
    </w:p>
    <w:p>
      <w:pPr>
        <w:jc w:val="left"/>
      </w:pPr>
      <w:r>
        <w:rPr>
          <w:b/>
        </w:rPr>
        <w:t>Überprüfung und Änderung der Grundsteuerwertfeststellung auf den 01.01.2022 sowie der darauf beruhenden Messbetragsfestsetzung.</w:t>
      </w:r>
    </w:p>
    <w:p>
      <w:pPr>
        <w:jc w:val="left"/>
      </w:pPr>
      <w:r>
        <w:t xml:space="preserve">Hilfsweise legen wir, soweit noch verfahrensrechtlich möglich, </w:t>
      </w:r>
      <w:r>
        <w:rPr>
          <w:b/>
        </w:rPr>
        <w:t>Einspruch</w:t>
      </w:r>
      <w:r>
        <w:t xml:space="preserve"> gegen die genannten Bescheide ein. Hilfsweise und subsidiär beantragen wir die Behandlung dieses Antrags als </w:t>
      </w:r>
      <w:r>
        <w:rPr>
          <w:b/>
        </w:rPr>
        <w:t>Antrag auf fehlerberichtigende Fortschreibung</w:t>
      </w:r>
      <w:r>
        <w:t xml:space="preserve"> nach § 222 BewG bzw. als </w:t>
      </w:r>
      <w:r>
        <w:rPr>
          <w:b/>
        </w:rPr>
        <w:t>Antrag auf Änderung</w:t>
      </w:r>
      <w:r>
        <w:t xml:space="preserve"> nach § 173 AO.</w:t>
      </w:r>
    </w:p>
    <w:p>
      <w:pPr>
        <w:jc w:val="left"/>
      </w:pPr>
      <w:r>
        <w:t xml:space="preserve">Wir beantragen weiter die </w:t>
      </w:r>
      <w:r>
        <w:rPr>
          <w:b/>
        </w:rPr>
        <w:t>Aussetzung der Vollziehung</w:t>
      </w:r>
      <w:r>
        <w:t xml:space="preserve"> (§ 361 Abs. 2 AO) in Bezug auf die hieraus folgenden Steuerbeträge.</w:t>
      </w:r>
    </w:p>
    <w:p>
      <w:pPr>
        <w:pStyle w:val="Heading2"/>
      </w:pPr>
      <w:r>
        <w:rPr>
          <w:rFonts w:ascii="Times New Roman" w:hAnsi="Times New Roman"/>
        </w:rPr>
        <w:t>I. Sachverhalt</w:t>
      </w:r>
    </w:p>
    <w:p>
      <w:pPr>
        <w:jc w:val="left"/>
      </w:pPr>
      <w:r>
        <w:t>Die Eigentümergemeinschaft Rosenwinkel 14/16 in Trier hat im Februar 2023 die Grundsteuererklärung für den Hauptfeststellungszeitpunkt 01.01.2022 abgegeben (Erklärungsabgabe durch die damalige Hausverwaltung selbst, auf Basis der Hausverwaltungssoftware VerwaSoft Premium 2.4). Mit Bescheiden vom 22.08.2024 hat das Finanzamt Trier den Grundsteuerwert auf 3.284.000 EUR und den Messbetrag ab 2025 auf 3.542,98 EUR festgestellt.</w:t>
      </w:r>
    </w:p>
    <w:p>
      <w:pPr>
        <w:jc w:val="left"/>
      </w:pPr>
      <w:r>
        <w:t>Nach Eintritt der Mandantsbeziehung -- veranlasst durch den am 13.05.2026 zugestellten Grundsteuerbescheid 2026 der Stadt Trier in Höhe von 19.486,39 EUR -- wurde die Wertfeststellung erneut geprüft. Die Prüfung ergibt mehrere wertbildende Fehler tatsächlicher Art, die in der Erklärung 2023 enthalten waren und sich auch im Grundsteuerwertbescheid niedergeschlagen haben.</w:t>
      </w:r>
    </w:p>
    <w:p>
      <w:pPr>
        <w:pStyle w:val="Heading2"/>
      </w:pPr>
      <w:r>
        <w:rPr>
          <w:rFonts w:ascii="Times New Roman" w:hAnsi="Times New Roman"/>
        </w:rPr>
        <w:t>II. Begründung</w:t>
      </w:r>
    </w:p>
    <w:p>
      <w:pPr>
        <w:jc w:val="left"/>
      </w:pPr>
      <w:r>
        <w:t>Der festgestellte Grundsteuerwert beruht nach Aktenlage auf unzutreffenden tatsächlichen Grundlagen:</w:t>
      </w:r>
    </w:p>
    <w:p>
      <w:pPr>
        <w:pStyle w:val="ListNumber"/>
      </w:pPr>
      <w:r>
        <w:rPr>
          <w:b/>
        </w:rPr>
        <w:t>Hinterhaus als Wohnfläche erfasst (194 qm)</w:t>
      </w:r>
      <w:r>
        <w:t>, obwohl es faktisch als Werkstatt und Archiv genutzt wird, weder eine zeitgemäße Wohnerschließung noch eine Heizungs- oder Sanitäranlage aufweist und seit 1987 ausschließlich gewerblich genutzt wurde (Gewerbegenehmigung Stadt Trier vom 12.03.1987). Es handelt sich um Nutzfläche im Sinne von § 250 BewG, nicht um Wohnfläche.</w:t>
      </w:r>
    </w:p>
    <w:p>
      <w:pPr>
        <w:pStyle w:val="ListNumber"/>
      </w:pPr>
      <w:r>
        <w:rPr>
          <w:b/>
        </w:rPr>
        <w:t>Dachgeschoss-Wohnung W7 (96 qm laut Aufmaß) wurde mit 124 qm erfasst.</w:t>
      </w:r>
      <w:r>
        <w:t xml:space="preserve"> Die Differenz von 28 qm beruht auf einer unzutreffenden Behandlung der Dachschrägen (DIN 277 / Wohnflächenverordnung nicht angewendet).</w:t>
      </w:r>
    </w:p>
    <w:p>
      <w:pPr>
        <w:pStyle w:val="ListNumber"/>
      </w:pPr>
      <w:r>
        <w:rPr>
          <w:b/>
        </w:rPr>
        <w:t>Keller- und Nebenflächen</w:t>
      </w:r>
      <w:r>
        <w:t xml:space="preserve"> (insgesamt 80 qm) scheinen in die Nutzfläche eingeflossen zu sein, obwohl es sich um Kellerabteile ohne Vollgeschoss-Eigenschaft handelt.</w:t>
      </w:r>
    </w:p>
    <w:p>
      <w:pPr>
        <w:pStyle w:val="ListNumber"/>
      </w:pPr>
      <w:r>
        <w:rPr>
          <w:b/>
        </w:rPr>
        <w:t>Seitenflügel:</w:t>
      </w:r>
      <w:r>
        <w:t xml:space="preserve"> Das Erdgeschoss (faktisch unnutzbares Lager wegen Feuchteschaden, Bauschadensbericht Behringer-Sams vom 12.02.2025) wurde mit 92 qm als voll nutzbar erfasst, obwohl die tatsächliche Nutzungsfläche bei höchstens 54 qm liegt. Die Wohnungen W9 und W10 wurden mit Brandschutzmängeln genehmigt nur eingeschränkt (Bescheid Bauaufsicht Trier 18.07.2024, Az. 50-BA-2024/0772) -- gleichwohl in der Wertfeststellung voll angesetzt.</w:t>
      </w:r>
    </w:p>
    <w:p>
      <w:pPr>
        <w:pStyle w:val="ListNumber"/>
      </w:pPr>
      <w:r>
        <w:rPr>
          <w:b/>
        </w:rPr>
        <w:t>Balkonflächen</w:t>
      </w:r>
      <w:r>
        <w:t xml:space="preserve"> sind teilweise voll statt anteilig angesetzt (je 4 qm bei W3 und W5 -- entgegen § 4 Wohnflächenverordnung).</w:t>
      </w:r>
    </w:p>
    <w:p>
      <w:pPr>
        <w:pStyle w:val="ListNumber"/>
      </w:pPr>
      <w:r>
        <w:rPr>
          <w:b/>
        </w:rPr>
        <w:t>Bodenrichtwert.</w:t>
      </w:r>
      <w:r>
        <w:t xml:space="preserve"> Der angesetzte Bodenrichtwert von 1.050 EUR/qm entspricht mutmaßlich nicht der Lage Rosenwinkel (Nebenlage), sondern einer Hauptlage. Die telefonische Auskunft des Gutachterausschusses Trier vom 14.04.2025 (Frau Hoffmann) hat eine Nebenlagenzone mit Abschlag genannt. Eine amtliche Bodenrichtwertauskunft zum Stichtag 01.01.2022 ist beantragt und wird nachgereicht.</w:t>
      </w:r>
    </w:p>
    <w:p>
      <w:pPr>
        <w:pStyle w:val="ListNumber"/>
      </w:pPr>
      <w:r>
        <w:rPr>
          <w:b/>
        </w:rPr>
        <w:t>Denkmalschutz, Feuchtigkeitsschäden und Brandschutzdefizite</w:t>
      </w:r>
      <w:r>
        <w:t xml:space="preserve"> des Seitenflügels wirken sich auf Nutzung und gemeinen Wert aus. Diese objektbezogenen Besonderheiten sind in einer Massenbewertung typisch nicht abgebildet und müssen über die Korrekturen nach §§ 222 ff. BewG bzw. den Nachweis eines niedrigeren gemeinen Werts berücksichtigt werden.</w:t>
      </w:r>
    </w:p>
    <w:p>
      <w:pPr>
        <w:jc w:val="left"/>
      </w:pPr>
      <w:r>
        <w:t>Die beigefügten Unterlagen legen nahe, dass der festgestellte Grundsteuerwert erheblich oberhalb des gemeinen Werts der wirtschaftlichen Einheit liegt. Der gemeine Wert ist nach drei voneinander unabhängigen Indizien (Kaufangebot Stadtbau Invest 03.02.2025 über 2.220.000 EUR; Maklerkurzbewertung Eberwein Immobilien 21.04.2025 mit 2.300.000 EUR; Vergleichswert Reichgasse 22 mit Verkauf 11/2024 für 2.140.000 EUR) im Bereich von 2.150.000 -- 2.350.000 EUR anzusiedeln. Das entspricht einer Abweichung von ca. 31,5 % zum festgestellten Wert.</w:t>
      </w:r>
    </w:p>
    <w:p>
      <w:pPr>
        <w:jc w:val="left"/>
      </w:pPr>
      <w:r>
        <w:t>Wir verweisen insoweit auf die jüngere Rechtsprechung des Bundesfinanzhofs im Aussetzungsverfahren zur Grundsteuerwertfeststellung (II. Senat), wonach im Einzelfall ernstliche Zweifel an der Rechtmäßigkeit der Feststellung bestehen können, wenn der niedrigere gemeine Wert plausibel und objektbezogen belegt wird. Die konkreten Aktenzeichen werden mit gesondertem Schriftsatz nachgereicht, sobald die amtliche Bodenrichtwertauskunft vorliegt.</w:t>
      </w:r>
    </w:p>
    <w:p>
      <w:pPr>
        <w:pStyle w:val="Heading2"/>
      </w:pPr>
      <w:r>
        <w:rPr>
          <w:rFonts w:ascii="Times New Roman" w:hAnsi="Times New Roman"/>
        </w:rPr>
        <w:t>III. Anträge</w:t>
      </w:r>
    </w:p>
    <w:p>
      <w:pPr>
        <w:pStyle w:val="ListNumber"/>
      </w:pPr>
      <w:r>
        <w:t>Änderung der Grundsteuerwertfeststellung auf den 01.01.2022 nach Maßgabe der beigefügten Flächen- und Nutzungsaufstellung.</w:t>
      </w:r>
    </w:p>
    <w:p>
      <w:pPr>
        <w:pStyle w:val="ListNumber"/>
      </w:pPr>
      <w:r>
        <w:t>Hilfsweise Aussetzung der Vollziehung in angemessener Höhe (§ 361 Abs. 2 AO); konkret: Aussetzung des über einen Grundsteuerwert von 2.250.000 EUR hinausgehenden Betrags.</w:t>
      </w:r>
    </w:p>
    <w:p>
      <w:pPr>
        <w:pStyle w:val="ListNumber"/>
      </w:pPr>
      <w:r>
        <w:t>Übersendung der elektronisch verarbeiteten Erklärungsdaten und der Bewertungsparameter, soweit diese in der Bewertungsdatenbank des Finanzamts hinterlegt sind (Akteneinsicht).</w:t>
      </w:r>
    </w:p>
    <w:p>
      <w:pPr>
        <w:pStyle w:val="ListNumber"/>
      </w:pPr>
      <w:r>
        <w:t>Gelegenheit zur Nachreichung einer amtlichen Bodenrichtwertauskunft (beantragt, Zugang voraussichtlich bis 02.06.2026) und gegebenenfalls eines Verkehrswertgutachtens.</w:t>
      </w:r>
    </w:p>
    <w:p>
      <w:pPr>
        <w:pStyle w:val="ListNumber"/>
      </w:pPr>
      <w:r>
        <w:t>Berücksichtigung der Korrekturwirkung auf den Grundsteuermessbescheid und Mitteilung an die Stadt Trier als Grundlagenfolge (§ 184 AO i. V. m. § 219 BewG analog).</w:t>
      </w:r>
    </w:p>
    <w:p>
      <w:pPr>
        <w:pStyle w:val="Heading2"/>
      </w:pPr>
      <w:r>
        <w:rPr>
          <w:rFonts w:ascii="Times New Roman" w:hAnsi="Times New Roman"/>
        </w:rPr>
        <w:t>IV. Anlagen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Anlage</w:t>
            </w:r>
          </w:p>
        </w:tc>
        <w:tc>
          <w:tcPr>
            <w:tcW w:type="dxa" w:w="3024"/>
          </w:tcPr>
          <w:p>
            <w:r>
              <w:rPr>
                <w:rFonts w:ascii="Times New Roman" w:hAnsi="Times New Roman"/>
                <w:b/>
                <w:sz w:val="20"/>
              </w:rPr>
              <w:t>Stand</w:t>
            </w:r>
          </w:p>
        </w:tc>
      </w:tr>
      <w:tr>
        <w:tc>
          <w:tcPr>
            <w:tcW w:type="dxa" w:w="3024"/>
          </w:tcPr>
          <w:p>
            <w:r>
              <w:rPr>
                <w:rFonts w:ascii="Times New Roman" w:hAnsi="Times New Roman"/>
                <w:sz w:val="20"/>
              </w:rPr>
              <w:t>1</w:t>
            </w:r>
          </w:p>
        </w:tc>
        <w:tc>
          <w:tcPr>
            <w:tcW w:type="dxa" w:w="3024"/>
          </w:tcPr>
          <w:p>
            <w:r>
              <w:rPr>
                <w:rFonts w:ascii="Times New Roman" w:hAnsi="Times New Roman"/>
                <w:sz w:val="20"/>
              </w:rPr>
              <w:t>Vollmacht der Hausverwaltung / WEG-Beschluss</w:t>
            </w:r>
          </w:p>
        </w:tc>
        <w:tc>
          <w:tcPr>
            <w:tcW w:type="dxa" w:w="3024"/>
          </w:tcPr>
          <w:p>
            <w:r>
              <w:rPr>
                <w:rFonts w:ascii="Times New Roman" w:hAnsi="Times New Roman"/>
                <w:sz w:val="20"/>
              </w:rPr>
              <w:t>04.06.2026 (folgt)</w:t>
            </w:r>
          </w:p>
        </w:tc>
      </w:tr>
      <w:tr>
        <w:tc>
          <w:tcPr>
            <w:tcW w:type="dxa" w:w="3024"/>
          </w:tcPr>
          <w:p>
            <w:r>
              <w:rPr>
                <w:rFonts w:ascii="Times New Roman" w:hAnsi="Times New Roman"/>
                <w:sz w:val="20"/>
              </w:rPr>
              <w:t>2</w:t>
            </w:r>
          </w:p>
        </w:tc>
        <w:tc>
          <w:tcPr>
            <w:tcW w:type="dxa" w:w="3024"/>
          </w:tcPr>
          <w:p>
            <w:r>
              <w:rPr>
                <w:rFonts w:ascii="Times New Roman" w:hAnsi="Times New Roman"/>
                <w:sz w:val="20"/>
              </w:rPr>
              <w:t>Bescheidkopie Grundsteuerwertfeststellung vom 22.08.2024</w:t>
            </w:r>
          </w:p>
        </w:tc>
        <w:tc>
          <w:tcPr>
            <w:tcW w:type="dxa" w:w="3024"/>
          </w:tcPr>
          <w:p>
            <w:r>
              <w:rPr>
                <w:rFonts w:ascii="Times New Roman" w:hAnsi="Times New Roman"/>
                <w:sz w:val="20"/>
              </w:rPr>
              <w:t>--</w:t>
            </w:r>
          </w:p>
        </w:tc>
      </w:tr>
      <w:tr>
        <w:tc>
          <w:tcPr>
            <w:tcW w:type="dxa" w:w="3024"/>
          </w:tcPr>
          <w:p>
            <w:r>
              <w:rPr>
                <w:rFonts w:ascii="Times New Roman" w:hAnsi="Times New Roman"/>
                <w:sz w:val="20"/>
              </w:rPr>
              <w:t>3</w:t>
            </w:r>
          </w:p>
        </w:tc>
        <w:tc>
          <w:tcPr>
            <w:tcW w:type="dxa" w:w="3024"/>
          </w:tcPr>
          <w:p>
            <w:r>
              <w:rPr>
                <w:rFonts w:ascii="Times New Roman" w:hAnsi="Times New Roman"/>
                <w:sz w:val="20"/>
              </w:rPr>
              <w:t>Bescheidkopie Messbescheid vom 22.08.2024</w:t>
            </w:r>
          </w:p>
        </w:tc>
        <w:tc>
          <w:tcPr>
            <w:tcW w:type="dxa" w:w="3024"/>
          </w:tcPr>
          <w:p>
            <w:r>
              <w:rPr>
                <w:rFonts w:ascii="Times New Roman" w:hAnsi="Times New Roman"/>
                <w:sz w:val="20"/>
              </w:rPr>
              <w:t>--</w:t>
            </w:r>
          </w:p>
        </w:tc>
      </w:tr>
      <w:tr>
        <w:tc>
          <w:tcPr>
            <w:tcW w:type="dxa" w:w="3024"/>
          </w:tcPr>
          <w:p>
            <w:r>
              <w:rPr>
                <w:rFonts w:ascii="Times New Roman" w:hAnsi="Times New Roman"/>
                <w:sz w:val="20"/>
              </w:rPr>
              <w:t>4</w:t>
            </w:r>
          </w:p>
        </w:tc>
        <w:tc>
          <w:tcPr>
            <w:tcW w:type="dxa" w:w="3024"/>
          </w:tcPr>
          <w:p>
            <w:r>
              <w:rPr>
                <w:rFonts w:ascii="Times New Roman" w:hAnsi="Times New Roman"/>
                <w:sz w:val="20"/>
              </w:rPr>
              <w:t>Bescheidkopie Grundsteuerbescheid Stadt Trier 2026 vom 13.05.2026</w:t>
            </w:r>
          </w:p>
        </w:tc>
        <w:tc>
          <w:tcPr>
            <w:tcW w:type="dxa" w:w="3024"/>
          </w:tcPr>
          <w:p>
            <w:r>
              <w:rPr>
                <w:rFonts w:ascii="Times New Roman" w:hAnsi="Times New Roman"/>
                <w:sz w:val="20"/>
              </w:rPr>
              <w:t>--</w:t>
            </w:r>
          </w:p>
        </w:tc>
      </w:tr>
      <w:tr>
        <w:tc>
          <w:tcPr>
            <w:tcW w:type="dxa" w:w="3024"/>
          </w:tcPr>
          <w:p>
            <w:r>
              <w:rPr>
                <w:rFonts w:ascii="Times New Roman" w:hAnsi="Times New Roman"/>
                <w:sz w:val="20"/>
              </w:rPr>
              <w:t>5</w:t>
            </w:r>
          </w:p>
        </w:tc>
        <w:tc>
          <w:tcPr>
            <w:tcW w:type="dxa" w:w="3024"/>
          </w:tcPr>
          <w:p>
            <w:r>
              <w:rPr>
                <w:rFonts w:ascii="Times New Roman" w:hAnsi="Times New Roman"/>
                <w:sz w:val="20"/>
              </w:rPr>
              <w:t>Flächen- und Nutzungsaufstellung (Vergleich Erklärung / Bescheid / Verwaltung)</w:t>
            </w:r>
          </w:p>
        </w:tc>
        <w:tc>
          <w:tcPr>
            <w:tcW w:type="dxa" w:w="3024"/>
          </w:tcPr>
          <w:p>
            <w:r>
              <w:rPr>
                <w:rFonts w:ascii="Times New Roman" w:hAnsi="Times New Roman"/>
                <w:sz w:val="20"/>
              </w:rPr>
              <w:t>22.05.2026</w:t>
            </w:r>
          </w:p>
        </w:tc>
      </w:tr>
      <w:tr>
        <w:tc>
          <w:tcPr>
            <w:tcW w:type="dxa" w:w="3024"/>
          </w:tcPr>
          <w:p>
            <w:r>
              <w:rPr>
                <w:rFonts w:ascii="Times New Roman" w:hAnsi="Times New Roman"/>
                <w:sz w:val="20"/>
              </w:rPr>
              <w:t>6</w:t>
            </w:r>
          </w:p>
        </w:tc>
        <w:tc>
          <w:tcPr>
            <w:tcW w:type="dxa" w:w="3024"/>
          </w:tcPr>
          <w:p>
            <w:r>
              <w:rPr>
                <w:rFonts w:ascii="Times New Roman" w:hAnsi="Times New Roman"/>
                <w:sz w:val="20"/>
              </w:rPr>
              <w:t>Bauschadensbericht Büro Behringer-Sams vom 12.02.2025</w:t>
            </w:r>
          </w:p>
        </w:tc>
        <w:tc>
          <w:tcPr>
            <w:tcW w:type="dxa" w:w="3024"/>
          </w:tcPr>
          <w:p>
            <w:r>
              <w:rPr>
                <w:rFonts w:ascii="Times New Roman" w:hAnsi="Times New Roman"/>
                <w:sz w:val="20"/>
              </w:rPr>
              <w:t>--</w:t>
            </w:r>
          </w:p>
        </w:tc>
      </w:tr>
      <w:tr>
        <w:tc>
          <w:tcPr>
            <w:tcW w:type="dxa" w:w="3024"/>
          </w:tcPr>
          <w:p>
            <w:r>
              <w:rPr>
                <w:rFonts w:ascii="Times New Roman" w:hAnsi="Times New Roman"/>
                <w:sz w:val="20"/>
              </w:rPr>
              <w:t>7</w:t>
            </w:r>
          </w:p>
        </w:tc>
        <w:tc>
          <w:tcPr>
            <w:tcW w:type="dxa" w:w="3024"/>
          </w:tcPr>
          <w:p>
            <w:r>
              <w:rPr>
                <w:rFonts w:ascii="Times New Roman" w:hAnsi="Times New Roman"/>
                <w:sz w:val="20"/>
              </w:rPr>
              <w:t>Aufmaß Architektin F. Wiegand vom 14.09.2021</w:t>
            </w:r>
          </w:p>
        </w:tc>
        <w:tc>
          <w:tcPr>
            <w:tcW w:type="dxa" w:w="3024"/>
          </w:tcPr>
          <w:p>
            <w:r>
              <w:rPr>
                <w:rFonts w:ascii="Times New Roman" w:hAnsi="Times New Roman"/>
                <w:sz w:val="20"/>
              </w:rPr>
              <w:t>--</w:t>
            </w:r>
          </w:p>
        </w:tc>
      </w:tr>
      <w:tr>
        <w:tc>
          <w:tcPr>
            <w:tcW w:type="dxa" w:w="3024"/>
          </w:tcPr>
          <w:p>
            <w:r>
              <w:rPr>
                <w:rFonts w:ascii="Times New Roman" w:hAnsi="Times New Roman"/>
                <w:sz w:val="20"/>
              </w:rPr>
              <w:t>8</w:t>
            </w:r>
          </w:p>
        </w:tc>
        <w:tc>
          <w:tcPr>
            <w:tcW w:type="dxa" w:w="3024"/>
          </w:tcPr>
          <w:p>
            <w:r>
              <w:rPr>
                <w:rFonts w:ascii="Times New Roman" w:hAnsi="Times New Roman"/>
                <w:sz w:val="20"/>
              </w:rPr>
              <w:t>Denkmalschutzbescheid vom 11.03.1998</w:t>
            </w:r>
          </w:p>
        </w:tc>
        <w:tc>
          <w:tcPr>
            <w:tcW w:type="dxa" w:w="3024"/>
          </w:tcPr>
          <w:p>
            <w:r>
              <w:rPr>
                <w:rFonts w:ascii="Times New Roman" w:hAnsi="Times New Roman"/>
                <w:sz w:val="20"/>
              </w:rPr>
              <w:t>--</w:t>
            </w:r>
          </w:p>
        </w:tc>
      </w:tr>
      <w:tr>
        <w:tc>
          <w:tcPr>
            <w:tcW w:type="dxa" w:w="3024"/>
          </w:tcPr>
          <w:p>
            <w:r>
              <w:rPr>
                <w:rFonts w:ascii="Times New Roman" w:hAnsi="Times New Roman"/>
                <w:sz w:val="20"/>
              </w:rPr>
              <w:t>9</w:t>
            </w:r>
          </w:p>
        </w:tc>
        <w:tc>
          <w:tcPr>
            <w:tcW w:type="dxa" w:w="3024"/>
          </w:tcPr>
          <w:p>
            <w:r>
              <w:rPr>
                <w:rFonts w:ascii="Times New Roman" w:hAnsi="Times New Roman"/>
                <w:sz w:val="20"/>
              </w:rPr>
              <w:t>Bauaufsichtsschreiben vom 18.07.2024</w:t>
            </w:r>
          </w:p>
        </w:tc>
        <w:tc>
          <w:tcPr>
            <w:tcW w:type="dxa" w:w="3024"/>
          </w:tcPr>
          <w:p>
            <w:r>
              <w:rPr>
                <w:rFonts w:ascii="Times New Roman" w:hAnsi="Times New Roman"/>
                <w:sz w:val="20"/>
              </w:rPr>
              <w:t>--</w:t>
            </w:r>
          </w:p>
        </w:tc>
      </w:tr>
      <w:tr>
        <w:tc>
          <w:tcPr>
            <w:tcW w:type="dxa" w:w="3024"/>
          </w:tcPr>
          <w:p>
            <w:r>
              <w:rPr>
                <w:rFonts w:ascii="Times New Roman" w:hAnsi="Times New Roman"/>
                <w:sz w:val="20"/>
              </w:rPr>
              <w:t>10</w:t>
            </w:r>
          </w:p>
        </w:tc>
        <w:tc>
          <w:tcPr>
            <w:tcW w:type="dxa" w:w="3024"/>
          </w:tcPr>
          <w:p>
            <w:r>
              <w:rPr>
                <w:rFonts w:ascii="Times New Roman" w:hAnsi="Times New Roman"/>
                <w:sz w:val="20"/>
              </w:rPr>
              <w:t>Kaufangebot Stadtbau Invest GmbH vom 03.02.2025</w:t>
            </w:r>
          </w:p>
        </w:tc>
        <w:tc>
          <w:tcPr>
            <w:tcW w:type="dxa" w:w="3024"/>
          </w:tcPr>
          <w:p>
            <w:r>
              <w:rPr>
                <w:rFonts w:ascii="Times New Roman" w:hAnsi="Times New Roman"/>
                <w:sz w:val="20"/>
              </w:rPr>
              <w:t>--</w:t>
            </w:r>
          </w:p>
        </w:tc>
      </w:tr>
      <w:tr>
        <w:tc>
          <w:tcPr>
            <w:tcW w:type="dxa" w:w="3024"/>
          </w:tcPr>
          <w:p>
            <w:r>
              <w:rPr>
                <w:rFonts w:ascii="Times New Roman" w:hAnsi="Times New Roman"/>
                <w:sz w:val="20"/>
              </w:rPr>
              <w:t>11</w:t>
            </w:r>
          </w:p>
        </w:tc>
        <w:tc>
          <w:tcPr>
            <w:tcW w:type="dxa" w:w="3024"/>
          </w:tcPr>
          <w:p>
            <w:r>
              <w:rPr>
                <w:rFonts w:ascii="Times New Roman" w:hAnsi="Times New Roman"/>
                <w:sz w:val="20"/>
              </w:rPr>
              <w:t>Maklerkurzbewertung Eberwein Immobilien vom 21.04.2025</w:t>
            </w:r>
          </w:p>
        </w:tc>
        <w:tc>
          <w:tcPr>
            <w:tcW w:type="dxa" w:w="3024"/>
          </w:tcPr>
          <w:p>
            <w:r>
              <w:rPr>
                <w:rFonts w:ascii="Times New Roman" w:hAnsi="Times New Roman"/>
                <w:sz w:val="20"/>
              </w:rPr>
              <w:t>--</w:t>
            </w:r>
          </w:p>
        </w:tc>
      </w:tr>
      <w:tr>
        <w:tc>
          <w:tcPr>
            <w:tcW w:type="dxa" w:w="3024"/>
          </w:tcPr>
          <w:p>
            <w:r>
              <w:rPr>
                <w:rFonts w:ascii="Times New Roman" w:hAnsi="Times New Roman"/>
                <w:sz w:val="20"/>
              </w:rPr>
              <w:t>12</w:t>
            </w:r>
          </w:p>
        </w:tc>
        <w:tc>
          <w:tcPr>
            <w:tcW w:type="dxa" w:w="3024"/>
          </w:tcPr>
          <w:p>
            <w:r>
              <w:rPr>
                <w:rFonts w:ascii="Times New Roman" w:hAnsi="Times New Roman"/>
                <w:sz w:val="20"/>
              </w:rPr>
              <w:t>Telefonnotiz Gutachterausschuss Trier vom 14.04.2025 (Auskunft Bodenrichtwert)</w:t>
            </w:r>
          </w:p>
        </w:tc>
        <w:tc>
          <w:tcPr>
            <w:tcW w:type="dxa" w:w="3024"/>
          </w:tcPr>
          <w:p>
            <w:r>
              <w:rPr>
                <w:rFonts w:ascii="Times New Roman" w:hAnsi="Times New Roman"/>
                <w:sz w:val="20"/>
              </w:rPr>
              <w:t>--</w:t>
            </w:r>
          </w:p>
        </w:tc>
      </w:tr>
      <w:tr>
        <w:tc>
          <w:tcPr>
            <w:tcW w:type="dxa" w:w="3024"/>
          </w:tcPr>
          <w:p>
            <w:r>
              <w:rPr>
                <w:rFonts w:ascii="Times New Roman" w:hAnsi="Times New Roman"/>
                <w:sz w:val="20"/>
              </w:rPr>
              <w:t>13</w:t>
            </w:r>
          </w:p>
        </w:tc>
        <w:tc>
          <w:tcPr>
            <w:tcW w:type="dxa" w:w="3024"/>
          </w:tcPr>
          <w:p>
            <w:r>
              <w:rPr>
                <w:rFonts w:ascii="Times New Roman" w:hAnsi="Times New Roman"/>
                <w:sz w:val="20"/>
              </w:rPr>
              <w:t>Screenshot BORIS-Portal Rosenwinkel 01.01.2022</w:t>
            </w:r>
          </w:p>
        </w:tc>
        <w:tc>
          <w:tcPr>
            <w:tcW w:type="dxa" w:w="3024"/>
          </w:tcPr>
          <w:p>
            <w:r>
              <w:rPr>
                <w:rFonts w:ascii="Times New Roman" w:hAnsi="Times New Roman"/>
                <w:sz w:val="20"/>
              </w:rPr>
              <w:t>--</w:t>
            </w:r>
          </w:p>
        </w:tc>
      </w:tr>
      <w:tr>
        <w:tc>
          <w:tcPr>
            <w:tcW w:type="dxa" w:w="3024"/>
          </w:tcPr>
          <w:p>
            <w:r>
              <w:rPr>
                <w:rFonts w:ascii="Times New Roman" w:hAnsi="Times New Roman"/>
                <w:sz w:val="20"/>
              </w:rPr>
              <w:t>14</w:t>
            </w:r>
          </w:p>
        </w:tc>
        <w:tc>
          <w:tcPr>
            <w:tcW w:type="dxa" w:w="3024"/>
          </w:tcPr>
          <w:p>
            <w:r>
              <w:rPr>
                <w:rFonts w:ascii="Times New Roman" w:hAnsi="Times New Roman"/>
                <w:sz w:val="20"/>
              </w:rPr>
              <w:t>Amtliche Bodenrichtwertauskunft Gutachterausschuss Trier</w:t>
            </w:r>
          </w:p>
        </w:tc>
        <w:tc>
          <w:tcPr>
            <w:tcW w:type="dxa" w:w="3024"/>
          </w:tcPr>
          <w:p>
            <w:r>
              <w:rPr>
                <w:rFonts w:ascii="Times New Roman" w:hAnsi="Times New Roman"/>
                <w:sz w:val="20"/>
              </w:rPr>
              <w:t>folgt bis 02.06.2026</w:t>
            </w:r>
          </w:p>
        </w:tc>
      </w:tr>
      <w:tr>
        <w:tc>
          <w:tcPr>
            <w:tcW w:type="dxa" w:w="3024"/>
          </w:tcPr>
          <w:p>
            <w:r>
              <w:rPr>
                <w:rFonts w:ascii="Times New Roman" w:hAnsi="Times New Roman"/>
                <w:sz w:val="20"/>
              </w:rPr>
              <w:t>15</w:t>
            </w:r>
          </w:p>
        </w:tc>
        <w:tc>
          <w:tcPr>
            <w:tcW w:type="dxa" w:w="3024"/>
          </w:tcPr>
          <w:p>
            <w:r>
              <w:rPr>
                <w:rFonts w:ascii="Times New Roman" w:hAnsi="Times New Roman"/>
                <w:sz w:val="20"/>
              </w:rPr>
              <w:t>Fotos Innenraum Hinterhaus (Belegung Werkstattnutzung)</w:t>
            </w:r>
          </w:p>
        </w:tc>
        <w:tc>
          <w:tcPr>
            <w:tcW w:type="dxa" w:w="3024"/>
          </w:tcPr>
          <w:p>
            <w:r>
              <w:rPr>
                <w:rFonts w:ascii="Times New Roman" w:hAnsi="Times New Roman"/>
                <w:sz w:val="20"/>
              </w:rPr>
              <w:t>--</w:t>
            </w:r>
          </w:p>
        </w:tc>
      </w:tr>
    </w:tbl>
    <w:p>
      <w:pPr>
        <w:jc w:val="left"/>
      </w:pPr>
      <w:r>
        <w:t>Mit freundlichen Grüßen</w:t>
      </w:r>
    </w:p>
    <w:p>
      <w:pPr>
        <w:jc w:val="left"/>
      </w:pPr>
      <w:r>
        <w:rPr>
          <w:b/>
        </w:rPr>
        <w:t>Kanzlei Klotzkette Steuerrecht</w:t>
      </w:r>
    </w:p>
    <w:p>
      <w:pPr>
        <w:jc w:val="left"/>
      </w:pPr>
      <w:r>
        <w:t>RAin Brigitte Hauschulz-Müller</w:t>
      </w:r>
    </w:p>
    <w:p>
      <w:pPr>
        <w:jc w:val="left"/>
      </w:pPr>
      <w:r>
        <w:t>Fachanwältin für Steuerrecht</w:t>
      </w:r>
    </w:p>
    <w:p>
      <w:pPr>
        <w:pStyle w:val="Heading2"/>
      </w:pPr>
      <w:r>
        <w:rPr>
          <w:rFonts w:ascii="Times New Roman" w:hAnsi="Times New Roman"/>
        </w:rPr>
        <w:t>Interne Notiz (NICHT VERSANDFASSUNG)</w:t>
      </w:r>
    </w:p>
    <w:p>
      <w:pPr>
        <w:jc w:val="left"/>
      </w:pPr>
      <w:r>
        <w:t>Vor Versand zwingend zu prüfen / abzuhaken (Hartmann, 22.05.2026):</w:t>
      </w:r>
    </w:p>
    <w:p>
      <w:pPr>
        <w:pStyle w:val="ListBullet"/>
      </w:pPr>
      <w:r>
        <w:t>[ ] Eigentümerversammlung 04.06.2026 muss das Vorgehen explizit beauftragen (außer Notvollmacht der Verwaltung; vorher prüfen!).</w:t>
      </w:r>
    </w:p>
    <w:p>
      <w:pPr>
        <w:pStyle w:val="ListBullet"/>
      </w:pPr>
      <w:r>
        <w:t>[ ] WEG-Vollmacht in Anlage 1 (Vollmacht oder Beschlussabschrift).</w:t>
      </w:r>
    </w:p>
    <w:p>
      <w:pPr>
        <w:pStyle w:val="ListBullet"/>
      </w:pPr>
      <w:r>
        <w:t>[ ] Amtliche Bodenrichtwertauskunft eingegangen?</w:t>
      </w:r>
    </w:p>
    <w:p>
      <w:pPr>
        <w:pStyle w:val="ListBullet"/>
      </w:pPr>
      <w:r>
        <w:t>[ ] Wenn nicht: Mit Vorbehalt versenden, Nachreichung ankündigen.</w:t>
      </w:r>
    </w:p>
    <w:p>
      <w:pPr>
        <w:pStyle w:val="ListBullet"/>
      </w:pPr>
      <w:r>
        <w:t>[ ] Verfahrenshinweis: Einspruchsfrist gegen die Finanzamtsbescheide vom 22.08.2024 ist am 26.09.2024 abgelaufen. Wir können daher nicht regulär Einspruch einlegen; der Antrag muss als Änderungsantrag (§ 222 BewG / § 173 AO) verstanden werden. Der Entwurf ist bewusst weit formuliert; nach Akteneinsicht wird er nachgeschärft.</w:t>
      </w:r>
    </w:p>
    <w:p>
      <w:pPr>
        <w:pStyle w:val="ListBullet"/>
      </w:pPr>
      <w:r>
        <w:t>[ ] Risiko der Versagung der Wiedereinsetzung (§ 110 AO) bedacht -- hier vermutlich nicht einschlägig, da kein unverschuldetes Versäumnis ersichtlich.</w:t>
      </w:r>
    </w:p>
    <w:p>
      <w:pPr>
        <w:pStyle w:val="ListBullet"/>
      </w:pPr>
      <w:r>
        <w:t>[ ] Mandantenmail vom 18.05.2026 zur Frage Verfassungswidrigkeit nicht reflexhaft in Schriftsatz übernehmen; Linie: konkrete Überbewertung darlegen, nicht abstrakte Verfassungsrüge.</w:t>
      </w:r>
    </w:p>
    <w:p>
      <w:pPr>
        <w:pStyle w:val="ListBullet"/>
      </w:pPr>
      <w:r>
        <w:t>[ ] Vor Abgang: 4-Augen-Prüfung durch Hauschulz-Müller selbst.</w:t>
      </w:r>
    </w:p>
    <w:p>
      <w:pPr>
        <w:pStyle w:val="ListBullet"/>
      </w:pPr>
      <w:r>
        <w:t>[ ] AdV-Antrag muss präzise formuliert sein -- nicht Aussetzung der gesamten GrESt, sondern Aussetzung des überschießenden Betrags.</w:t>
      </w:r>
    </w:p>
    <w:p>
      <w:pPr>
        <w:pStyle w:val="Heading2"/>
      </w:pPr>
      <w:r>
        <w:rPr>
          <w:rFonts w:ascii="Times New Roman" w:hAnsi="Times New Roman"/>
        </w:rPr>
        <w:t>Paralleler Schriftsatz an die Stadt Trier (separat)</w:t>
      </w:r>
    </w:p>
    <w:p>
      <w:pPr>
        <w:jc w:val="left"/>
      </w:pPr>
      <w:r>
        <w:t xml:space="preserve">Ein paralleler Schriftsatz an die Stadt Trier (siehe </w:t>
      </w:r>
      <w:r>
        <w:t>08-einspruch-grundsteuer-A-stadt.md</w:t>
      </w:r>
      <w:r>
        <w:t>) richtet sich gegen die fehlerhafte Festsetzung der Grundsteuer A für die Hoffläche.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