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77"/>
        <w:gridCol w:w="4677"/>
      </w:tblGrid>
      <w:tr>
        <w:tc>
          <w:tcPr>
            <w:tcW w:type="dxa" w:w="5839"/>
            <w:vAlign w:val="top"/>
          </w:tcPr>
          <w:p>
            <w:pPr>
              <w:spacing w:after="0"/>
            </w:pPr>
            <w:r>
              <w:rPr>
                <w:rFonts w:ascii="Arial" w:hAnsi="Arial"/>
                <w:sz w:val="19"/>
              </w:rPr>
              <w:t>Frau Luna Weiß</w:t>
            </w:r>
          </w:p>
          <w:p>
            <w:pPr>
              <w:spacing w:after="0"/>
            </w:pPr>
            <w:r>
              <w:rPr>
                <w:rFonts w:ascii="Arial" w:hAnsi="Arial"/>
                <w:sz w:val="19"/>
              </w:rPr>
              <w:t>über Studio Kanal &amp; Maß</w:t>
            </w:r>
          </w:p>
          <w:p>
            <w:pPr>
              <w:spacing w:after="0"/>
            </w:pPr>
            <w:r>
              <w:rPr>
                <w:rFonts w:ascii="Arial" w:hAnsi="Arial"/>
                <w:sz w:val="19"/>
              </w:rPr>
              <w:t>Torstraße 188</w:t>
            </w:r>
          </w:p>
          <w:p>
            <w:pPr>
              <w:spacing w:after="0"/>
            </w:pPr>
            <w:r>
              <w:rPr>
                <w:rFonts w:ascii="Arial" w:hAnsi="Arial"/>
                <w:sz w:val="19"/>
              </w:rPr>
              <w:t>10115 Berlin</w:t>
            </w:r>
          </w:p>
        </w:tc>
        <w:tc>
          <w:tcPr>
            <w:tcW w:type="dxa" w:w="3401"/>
            <w:vAlign w:val="top"/>
          </w:tcPr>
          <w:p>
            <w:pPr>
              <w:spacing w:after="60"/>
              <w:jc w:val="right"/>
            </w:pPr>
            <w:r>
              <w:rPr>
                <w:b/>
              </w:rPr>
              <w:t>Berlin, 9. Mai 2026</w:t>
            </w:r>
          </w:p>
          <w:p>
            <w:pPr>
              <w:spacing w:after="0"/>
              <w:jc w:val="right"/>
            </w:pPr>
            <w:r>
              <w:t>Zeichen: AP-77</w:t>
            </w:r>
          </w:p>
        </w:tc>
      </w:tr>
    </w:tbl>
    <w:p>
      <w:pPr>
        <w:spacing w:after="20"/>
      </w:pPr>
    </w:p>
    <w:p>
      <w:pPr>
        <w:spacing w:before="40" w:after="160"/>
      </w:pPr>
      <w:r>
        <w:rPr>
          <w:b/>
          <w:color w:val="265C76"/>
          <w:sz w:val="24"/>
        </w:rPr>
        <w:t>Produktionsbriefing AudioPeak Sonic Pro</w:t>
      </w:r>
      <w:r>
        <w:rPr>
          <w:color w:val="5B666F"/>
          <w:sz w:val="19"/>
        </w:rPr>
        <w:br/>
        <w:t>Drehtag 11. Mai 2026 | Veröffentlichung 22. Mai 2026</w:t>
      </w:r>
    </w:p>
    <w:p>
      <w:r>
        <w:t>Liebe Frau Weiß,</w:t>
      </w:r>
    </w:p>
    <w:p>
      <w:pPr>
        <w:jc w:val="both"/>
      </w:pPr>
      <w:r>
        <w:t>für das Launch-Reel stellen wir ein Vorserienmuster des Kopfhörers Sonic Pro in Graphit bereit. Das Gerät trägt die Seriennummer APSP-VS-00417. Es verbleibt nach Abschluss der Kampagne bei Ihnen; der von uns angesetzte Warenwert beträgt 620 Euro.</w:t>
      </w:r>
    </w:p>
    <w:p>
      <w:pPr>
        <w:jc w:val="both"/>
      </w:pPr>
      <w:r>
        <w:t>Die Creatorvergütung beträgt 4500 Euro netto. Rechnungsadressat ist AudioPeak Europe GmbH, Kreditorenbuchhaltung, Kaiserdamm 61, 14057 Berlin. Bitte geben Sie AP-77 auf Rechnung und E-Mail-Betreff an.</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1814"/>
            <w:shd w:fill="E9F0F4"/>
            <w:vAlign w:val="center"/>
          </w:tcPr>
          <w:p>
            <w:pPr>
              <w:spacing w:after="0"/>
              <w:jc w:val="center"/>
            </w:pPr>
            <w:r>
              <w:rPr>
                <w:b/>
                <w:sz w:val="17"/>
              </w:rPr>
              <w:t>Zeitpunkt</w:t>
            </w:r>
          </w:p>
        </w:tc>
        <w:tc>
          <w:tcPr>
            <w:tcW w:type="dxa" w:w="4251"/>
            <w:shd w:fill="E9F0F4"/>
            <w:vAlign w:val="center"/>
          </w:tcPr>
          <w:p>
            <w:pPr>
              <w:spacing w:after="0"/>
              <w:jc w:val="center"/>
            </w:pPr>
            <w:r>
              <w:rPr>
                <w:b/>
                <w:sz w:val="17"/>
              </w:rPr>
              <w:t>Programmpunkt</w:t>
            </w:r>
          </w:p>
        </w:tc>
        <w:tc>
          <w:tcPr>
            <w:tcW w:type="dxa" w:w="2721"/>
            <w:shd w:fill="E9F0F4"/>
            <w:vAlign w:val="center"/>
          </w:tcPr>
          <w:p>
            <w:pPr>
              <w:spacing w:after="0"/>
              <w:jc w:val="center"/>
            </w:pPr>
            <w:r>
              <w:rPr>
                <w:b/>
                <w:sz w:val="17"/>
              </w:rPr>
              <w:t>Verantwortlich</w:t>
            </w:r>
          </w:p>
        </w:tc>
      </w:tr>
      <w:tr>
        <w:tc>
          <w:tcPr>
            <w:tcW w:type="dxa" w:w="1814"/>
            <w:vAlign w:val="center"/>
          </w:tcPr>
          <w:p>
            <w:pPr>
              <w:spacing w:after="0"/>
              <w:jc w:val="center"/>
            </w:pPr>
            <w:r>
              <w:rPr>
                <w:sz w:val="17"/>
              </w:rPr>
              <w:t>11.05., 10:00 Uhr</w:t>
            </w:r>
          </w:p>
        </w:tc>
        <w:tc>
          <w:tcPr>
            <w:tcW w:type="dxa" w:w="4251"/>
            <w:vAlign w:val="center"/>
          </w:tcPr>
          <w:p>
            <w:pPr>
              <w:spacing w:after="0"/>
              <w:jc w:val="left"/>
            </w:pPr>
            <w:r>
              <w:rPr>
                <w:sz w:val="17"/>
              </w:rPr>
              <w:t>Anlieferung Vorserienmuster und Toncheck</w:t>
            </w:r>
          </w:p>
        </w:tc>
        <w:tc>
          <w:tcPr>
            <w:tcW w:type="dxa" w:w="2721"/>
            <w:vAlign w:val="center"/>
          </w:tcPr>
          <w:p>
            <w:pPr>
              <w:spacing w:after="0"/>
              <w:jc w:val="left"/>
            </w:pPr>
            <w:r>
              <w:rPr>
                <w:sz w:val="17"/>
              </w:rPr>
              <w:t>Sebastian Rüß</w:t>
            </w:r>
          </w:p>
        </w:tc>
      </w:tr>
      <w:tr>
        <w:tc>
          <w:tcPr>
            <w:tcW w:type="dxa" w:w="1814"/>
            <w:vAlign w:val="center"/>
          </w:tcPr>
          <w:p>
            <w:pPr>
              <w:spacing w:after="0"/>
              <w:jc w:val="center"/>
            </w:pPr>
            <w:r>
              <w:rPr>
                <w:sz w:val="17"/>
              </w:rPr>
              <w:t>11.05., 10:30 Uhr</w:t>
            </w:r>
          </w:p>
        </w:tc>
        <w:tc>
          <w:tcPr>
            <w:tcW w:type="dxa" w:w="4251"/>
            <w:vAlign w:val="center"/>
          </w:tcPr>
          <w:p>
            <w:pPr>
              <w:spacing w:after="0"/>
              <w:jc w:val="left"/>
            </w:pPr>
            <w:r>
              <w:rPr>
                <w:sz w:val="17"/>
              </w:rPr>
              <w:t>Produktaufnahmen und Sprachspur</w:t>
            </w:r>
          </w:p>
        </w:tc>
        <w:tc>
          <w:tcPr>
            <w:tcW w:type="dxa" w:w="2721"/>
            <w:vAlign w:val="center"/>
          </w:tcPr>
          <w:p>
            <w:pPr>
              <w:spacing w:after="0"/>
              <w:jc w:val="left"/>
            </w:pPr>
            <w:r>
              <w:rPr>
                <w:sz w:val="17"/>
              </w:rPr>
              <w:t>Luna Weiß</w:t>
            </w:r>
          </w:p>
        </w:tc>
      </w:tr>
      <w:tr>
        <w:tc>
          <w:tcPr>
            <w:tcW w:type="dxa" w:w="1814"/>
            <w:vAlign w:val="center"/>
          </w:tcPr>
          <w:p>
            <w:pPr>
              <w:spacing w:after="0"/>
              <w:jc w:val="center"/>
            </w:pPr>
            <w:r>
              <w:rPr>
                <w:sz w:val="17"/>
              </w:rPr>
              <w:t>19.05., 12:00 Uhr</w:t>
            </w:r>
          </w:p>
        </w:tc>
        <w:tc>
          <w:tcPr>
            <w:tcW w:type="dxa" w:w="4251"/>
            <w:vAlign w:val="center"/>
          </w:tcPr>
          <w:p>
            <w:pPr>
              <w:spacing w:after="0"/>
              <w:jc w:val="left"/>
            </w:pPr>
            <w:r>
              <w:rPr>
                <w:sz w:val="17"/>
              </w:rPr>
              <w:t>Rohschnitt an AudioPeak</w:t>
            </w:r>
          </w:p>
        </w:tc>
        <w:tc>
          <w:tcPr>
            <w:tcW w:type="dxa" w:w="2721"/>
            <w:vAlign w:val="center"/>
          </w:tcPr>
          <w:p>
            <w:pPr>
              <w:spacing w:after="0"/>
              <w:jc w:val="left"/>
            </w:pPr>
            <w:r>
              <w:rPr>
                <w:sz w:val="17"/>
              </w:rPr>
              <w:t>Agentur</w:t>
            </w:r>
          </w:p>
        </w:tc>
      </w:tr>
      <w:tr>
        <w:tc>
          <w:tcPr>
            <w:tcW w:type="dxa" w:w="1814"/>
            <w:vAlign w:val="center"/>
          </w:tcPr>
          <w:p>
            <w:pPr>
              <w:spacing w:after="0"/>
              <w:jc w:val="center"/>
            </w:pPr>
            <w:r>
              <w:rPr>
                <w:sz w:val="17"/>
              </w:rPr>
              <w:t>20.05., 17:00 Uhr</w:t>
            </w:r>
          </w:p>
        </w:tc>
        <w:tc>
          <w:tcPr>
            <w:tcW w:type="dxa" w:w="4251"/>
            <w:vAlign w:val="center"/>
          </w:tcPr>
          <w:p>
            <w:pPr>
              <w:spacing w:after="0"/>
              <w:jc w:val="left"/>
            </w:pPr>
            <w:r>
              <w:rPr>
                <w:sz w:val="17"/>
              </w:rPr>
              <w:t>gebündelte Freigabe</w:t>
            </w:r>
          </w:p>
        </w:tc>
        <w:tc>
          <w:tcPr>
            <w:tcW w:type="dxa" w:w="2721"/>
            <w:vAlign w:val="center"/>
          </w:tcPr>
          <w:p>
            <w:pPr>
              <w:spacing w:after="0"/>
              <w:jc w:val="left"/>
            </w:pPr>
            <w:r>
              <w:rPr>
                <w:sz w:val="17"/>
              </w:rPr>
              <w:t>AudioPeak</w:t>
            </w:r>
          </w:p>
        </w:tc>
      </w:tr>
      <w:tr>
        <w:tc>
          <w:tcPr>
            <w:tcW w:type="dxa" w:w="1814"/>
            <w:vAlign w:val="center"/>
          </w:tcPr>
          <w:p>
            <w:pPr>
              <w:spacing w:after="0"/>
              <w:jc w:val="center"/>
            </w:pPr>
            <w:r>
              <w:rPr>
                <w:sz w:val="17"/>
              </w:rPr>
              <w:t>22.05., 19:00 Uhr</w:t>
            </w:r>
          </w:p>
        </w:tc>
        <w:tc>
          <w:tcPr>
            <w:tcW w:type="dxa" w:w="4251"/>
            <w:vAlign w:val="center"/>
          </w:tcPr>
          <w:p>
            <w:pPr>
              <w:spacing w:after="0"/>
              <w:jc w:val="left"/>
            </w:pPr>
            <w:r>
              <w:rPr>
                <w:sz w:val="17"/>
              </w:rPr>
              <w:t>Veröffentlichung Reel</w:t>
            </w:r>
          </w:p>
        </w:tc>
        <w:tc>
          <w:tcPr>
            <w:tcW w:type="dxa" w:w="2721"/>
            <w:vAlign w:val="center"/>
          </w:tcPr>
          <w:p>
            <w:pPr>
              <w:spacing w:after="0"/>
              <w:jc w:val="left"/>
            </w:pPr>
            <w:r>
              <w:rPr>
                <w:sz w:val="17"/>
              </w:rPr>
              <w:t>Luna Weiß</w:t>
            </w:r>
          </w:p>
        </w:tc>
      </w:tr>
    </w:tbl>
    <w:p>
      <w:pPr>
        <w:spacing w:after="20"/>
      </w:pPr>
    </w:p>
    <w:p>
      <w:pPr>
        <w:pStyle w:val="Heading2"/>
      </w:pPr>
      <w:r>
        <w:t>Tondatei und Verwendung</w:t>
      </w:r>
    </w:p>
    <w:p>
      <w:pPr>
        <w:jc w:val="both"/>
      </w:pPr>
      <w:r>
        <w:t>Sebastian Rüß übergibt am Drehtag die Datei „AP_SonicLaunch_30s.wav“. Sie ist für den vereinbarten Launch-Clip auf dem Kanal @luna.kanal vorgesehen. Die Datei darf nicht in weitere Produktionen übernommen oder separat veröffentlicht werden. Unterlagen zu Urheber und Lizenzlaufzeit werden nach interner Rückfrage nachgereicht.</w:t>
      </w:r>
    </w:p>
    <w:p>
      <w:pPr>
        <w:jc w:val="both"/>
      </w:pPr>
      <w:r>
        <w:t>Der Auftrag umfasst die organische Veröffentlichung des final freigegebenen Reels für acht Wochen. Eine Ausspielung als bezahlte Anzeige, ein Whitelisting oder eine Weitergabe des Rohmaterials ist in der vorliegenden Kalkulation nicht enthalten. Über zusätzliche Nutzungen soll vorab eine gesonderte Vereinbarung getroffen werden.</w:t>
      </w:r>
    </w:p>
    <w:p>
      <w:pPr>
        <w:pStyle w:val="Heading2"/>
      </w:pPr>
      <w:r>
        <w:t>Produktstand und Rohmaterial</w:t>
      </w:r>
    </w:p>
    <w:p>
      <w:pPr>
        <w:jc w:val="both"/>
      </w:pPr>
      <w:r>
        <w:t>Das Vorserienmuster kann sich in Verpackung und Bedienoberfläche von der Verkaufsversion unterscheiden. Aussagen zur Akkulaufzeit dürfen nur anhand des beigefügten Datenblatts erfolgen. Bitte bewahren Sie Rohclip, Freigabefassung und die am Drehtag verwendete Tondatei im unveränderten Zustand auf.</w:t>
      </w:r>
    </w:p>
    <w:p>
      <w:pPr>
        <w:spacing w:before="140" w:after="300"/>
      </w:pPr>
      <w:r>
        <w:t>Freundliche Grüße</w:t>
      </w:r>
    </w:p>
    <w:p>
      <w:pPr>
        <w:spacing w:after="0"/>
      </w:pPr>
      <w:r>
        <w:rPr>
          <w:b/>
        </w:rPr>
        <w:t>Sebastian Rüß</w:t>
      </w:r>
    </w:p>
    <w:p>
      <w:pPr>
        <w:spacing w:after="0"/>
      </w:pPr>
      <w:r>
        <w:rPr>
          <w:b w:val="0"/>
        </w:rPr>
        <w:t>Campaign Producer</w:t>
      </w:r>
    </w:p>
    <w:p>
      <w:pPr>
        <w:spacing w:before="200" w:after="40"/>
      </w:pPr>
      <w:r>
        <w:rPr>
          <w:b/>
        </w:rPr>
        <w:t>Anlagen</w:t>
      </w:r>
    </w:p>
    <w:p>
      <w:pPr>
        <w:pStyle w:val="ListBullet"/>
        <w:spacing w:after="40"/>
        <w:ind w:left="312" w:hanging="142"/>
      </w:pPr>
      <w:r>
        <w:t>Produktdatenblatt Sonic Pro, Stand 8. Mai 2026</w:t>
      </w:r>
    </w:p>
    <w:p>
      <w:pPr>
        <w:pStyle w:val="ListBullet"/>
        <w:spacing w:after="40"/>
        <w:ind w:left="312" w:hanging="142"/>
      </w:pPr>
      <w:r>
        <w:t>Versandbeleg AP-77</w:t>
      </w:r>
    </w:p>
    <w:sectPr w:rsidR="00FC693F" w:rsidRPr="0006063C" w:rsidSect="00034616">
      <w:headerReference w:type="default" r:id="rId9"/>
      <w:footerReference w:type="default" r:id="rId10"/>
      <w:pgSz w:w="11906" w:h="16838"/>
      <w:pgMar w:top="1247" w:right="1219"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5B666F"/>
        <w:sz w:val="16"/>
      </w:rPr>
      <w:t>AudioPeak Europe GmbH | AP-77</w:t>
    </w:r>
  </w:p>
  <w:p>
    <w:pPr>
      <w:jc w:val="right"/>
    </w:pPr>
    <w:r>
      <w:rPr>
        <w:sz w:val="16"/>
      </w:rPr>
      <w:t xml:space="preserve">Seite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4677"/>
      <w:gridCol w:w="4677"/>
    </w:tblGrid>
    <w:tr>
      <w:tc>
        <w:tcPr>
          <w:tcW w:type="dxa" w:w="5782"/>
          <w:vAlign w:val="center"/>
          <w:tcMar>
            <w:top w:w="80" w:type="dxa"/>
            <w:start w:w="80" w:type="dxa"/>
            <w:bottom w:w="80" w:type="dxa"/>
            <w:end w:w="80" w:type="dxa"/>
          </w:tcMar>
        </w:tcPr>
        <w:p>
          <w:pPr>
            <w:spacing w:after="20"/>
          </w:pPr>
          <w:r>
            <w:rPr>
              <w:rFonts w:ascii="Arial" w:hAnsi="Arial"/>
              <w:b/>
              <w:color w:val="265C76"/>
              <w:sz w:val="26"/>
            </w:rPr>
            <w:t>AudioPeak Europe GmbH</w:t>
          </w:r>
        </w:p>
        <w:p>
          <w:pPr>
            <w:spacing w:after="0"/>
          </w:pPr>
          <w:r>
            <w:rPr>
              <w:color w:val="5B666F"/>
              <w:sz w:val="17"/>
            </w:rPr>
            <w:t>Kaiserdamm 61 | 14057 Berlin</w:t>
          </w:r>
        </w:p>
      </w:tc>
      <w:tc>
        <w:tcPr>
          <w:tcW w:type="dxa" w:w="3571"/>
          <w:vAlign w:val="center"/>
          <w:tcMar>
            <w:top w:w="80" w:type="dxa"/>
            <w:start w:w="80" w:type="dxa"/>
            <w:bottom w:w="80" w:type="dxa"/>
            <w:end w:w="80" w:type="dxa"/>
          </w:tcMar>
        </w:tcPr>
        <w:p>
          <w:pPr>
            <w:spacing w:after="0"/>
            <w:jc w:val="right"/>
          </w:pPr>
          <w:r>
            <w:rPr>
              <w:rFonts w:ascii="Arial" w:hAnsi="Arial"/>
              <w:color w:val="5B666F"/>
              <w:sz w:val="17"/>
            </w:rPr>
            <w:t>030 889441-76</w:t>
            <w:br/>
            <w:t>sebastian.ruess@audiopeak.eu</w:t>
            <w:br/>
            <w:t>Projekt AP-77</w:t>
          </w:r>
        </w:p>
      </w:tc>
    </w:tr>
  </w:tbl>
  <w:p>
    <w:pPr>
      <w:spacing w:before="20" w:after="0"/>
      <w:pBdr>
        <w:bottom w:val="single" w:sz="8" w:space="1" w:color="265C76"/>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202F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265C76"/>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65C7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audiopeak produktionsbriefing ap 77</dc:title>
  <dc:subject>Originalunterlage</dc:subject>
  <dc:creator>Aktenaussteller</dc:creator>
  <cp:keywords/>
  <dc:description>generated by python-docx</dc:description>
  <cp:lastModifiedBy/>
  <cp:revision>1</cp:revision>
  <dcterms:created xsi:type="dcterms:W3CDTF">2013-12-23T23:15:00Z</dcterms:created>
  <dcterms:modified xsi:type="dcterms:W3CDTF">2013-12-23T23:15:00Z</dcterms:modified>
  <cp:category/>
</cp:coreProperties>
</file>