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Flyertext alt/neu</w:t>
      </w:r>
    </w:p>
    <w:p>
      <w:pPr>
        <w:pStyle w:val="Heading2"/>
      </w:pPr>
      <w:r>
        <w:rPr>
          <w:rFonts w:ascii="Times New Roman" w:hAnsi="Times New Roman"/>
        </w:rPr>
        <w:t>Alte Fassung vom 02.05.2026 (3000 Stück gedruckt, Restbestand 740)</w:t>
      </w:r>
    </w:p>
    <w:p>
      <w:pPr>
        <w:ind w:left="567"/>
      </w:pPr>
      <w:r>
        <w:rPr>
          <w:b/>
          <w:i/>
        </w:rPr>
        <w:t>Stoppt die B 449n.</w:t>
      </w:r>
    </w:p>
    <w:p>
      <w:pPr>
        <w:ind w:left="567"/>
      </w:pPr>
    </w:p>
    <w:p>
      <w:pPr>
        <w:ind w:left="567"/>
      </w:pPr>
      <w:r>
        <w:rPr>
          <w:i/>
        </w:rPr>
        <w:t>Der Bundestag muss die Trasse sofort stoppen. Schreiben Sie an alle Abgeordneten und verlangen Sie das Moratorium. Senden Sie unsere vorgefertigte E-Mail mit einem Klick. Unsere Petition braucht Ihre Stimme!</w:t>
      </w:r>
    </w:p>
    <w:p>
      <w:pPr>
        <w:ind w:left="567"/>
      </w:pPr>
    </w:p>
    <w:p>
      <w:pPr>
        <w:ind w:left="567"/>
      </w:pPr>
      <w:r>
        <w:rPr>
          <w:i/>
        </w:rPr>
        <w:t>Jede E-Mail zählt. Jeder Klick. Jede Spende.</w:t>
      </w:r>
    </w:p>
    <w:p>
      <w:pPr>
        <w:ind w:left="567"/>
      </w:pPr>
    </w:p>
    <w:p>
      <w:pPr>
        <w:ind w:left="567"/>
      </w:pPr>
      <w:r>
        <w:rPr>
          <w:i/>
        </w:rPr>
        <w:t>Spendenkonto Buergerinitiative Waldmoor 2030</w:t>
      </w:r>
    </w:p>
    <w:p>
      <w:pPr>
        <w:ind w:left="567"/>
      </w:pPr>
      <w:r>
        <w:rPr>
          <w:i/>
        </w:rPr>
        <w:t>Gemeinde-Treuhand Waldmoor, IBAN DE12 0000 0000 0000 4400 22</w:t>
      </w:r>
    </w:p>
    <w:p>
      <w:pPr>
        <w:ind w:left="567"/>
      </w:pPr>
    </w:p>
    <w:p>
      <w:pPr>
        <w:ind w:left="567"/>
      </w:pPr>
      <w:r>
        <w:rPr>
          <w:i/>
        </w:rPr>
        <w:t>waldmoor2030.de</w:t>
      </w:r>
    </w:p>
    <w:p>
      <w:pPr>
        <w:pStyle w:val="Heading2"/>
      </w:pPr>
      <w:r>
        <w:rPr>
          <w:rFonts w:ascii="Times New Roman" w:hAnsi="Times New Roman"/>
        </w:rPr>
        <w:t>Neue Fassung vom 17.05.2026 (nach Hinweis Julia Stern)</w:t>
      </w:r>
    </w:p>
    <w:p>
      <w:pPr>
        <w:ind w:left="567"/>
      </w:pPr>
      <w:r>
        <w:rPr>
          <w:b/>
          <w:i/>
        </w:rPr>
        <w:t>Moratorium für die B 449n-Trasse.</w:t>
      </w:r>
    </w:p>
    <w:p>
      <w:pPr>
        <w:ind w:left="567"/>
      </w:pPr>
    </w:p>
    <w:p>
      <w:pPr>
        <w:ind w:left="567"/>
      </w:pPr>
      <w:r>
        <w:rPr>
          <w:i/>
        </w:rPr>
        <w:t>Die Buergerinitiative Waldmoor 2030 setzt sich für ein Moratorium der geplanten B 449n-Trasse durch das Hochmoorgebiet ein, bis eine moorschutzfachliche Alternativenpruefung vorliegt.</w:t>
      </w:r>
    </w:p>
    <w:p>
      <w:pPr>
        <w:ind w:left="567"/>
      </w:pPr>
    </w:p>
    <w:p>
      <w:pPr>
        <w:ind w:left="567"/>
      </w:pPr>
      <w:r>
        <w:rPr>
          <w:i/>
        </w:rPr>
        <w:t>Wir sind ein ehrenamtliches Netzwerk ohne Rechtsform. Unsere Kontakte zu Bundestag und Bundesregierung dokumentieren wir und legen sie auf Anfrage offen. Eine Eintragung im Lobbyregister beim Deutschen Bundestag prüfen wir derzeit; aktuelle Spender und Mittelverwendung veröffentlichen wir auf unserer Internetseite.</w:t>
      </w:r>
    </w:p>
    <w:p>
      <w:pPr>
        <w:ind w:left="567"/>
      </w:pPr>
    </w:p>
    <w:p>
      <w:pPr>
        <w:ind w:left="567"/>
      </w:pPr>
      <w:r>
        <w:rPr>
          <w:i/>
        </w:rPr>
        <w:t>Sie können unsere Petition mitzeichnen, an Ihren Wahlkreisabgeordneten schreiben oder das Plenum am letzten Montag im Monat besuchen (Gasthaus Zum Moorlicht, Waldmoor, 19:30 Uhr).</w:t>
      </w:r>
    </w:p>
    <w:p>
      <w:pPr>
        <w:ind w:left="567"/>
      </w:pPr>
    </w:p>
    <w:p>
      <w:pPr>
        <w:ind w:left="567"/>
      </w:pPr>
      <w:r>
        <w:rPr>
          <w:i/>
        </w:rPr>
        <w:t>Verantwortlich i.S.d. § 5 TMG: Luise Barmbek, Erlenweg 22, Waldmoor.</w:t>
      </w:r>
    </w:p>
    <w:p>
      <w:pPr>
        <w:pStyle w:val="Heading2"/>
      </w:pPr>
      <w:r>
        <w:rPr>
          <w:rFonts w:ascii="Times New Roman" w:hAnsi="Times New Roman"/>
        </w:rPr>
        <w:t>Problem</w:t>
      </w:r>
    </w:p>
    <w:p>
      <w:pPr>
        <w:pStyle w:val="ListBullet"/>
      </w:pPr>
      <w:r>
        <w:t>Die alte Fassung klingt nach Kampagnenaufruf ohne Verantwortliche und ohne Hinweis auf Organisation oder Finanzierung. Sie suggeriert breite Massenkommunikation an Abgeordnete.</w:t>
      </w:r>
    </w:p>
    <w:p>
      <w:pPr>
        <w:pStyle w:val="ListBullet"/>
      </w:pPr>
      <w:r>
        <w:t>Die neue Fassung ist transparenter, aber immer noch politisch und damit für die Pflichtprüfung nicht entlastend.</w:t>
      </w:r>
    </w:p>
    <w:p>
      <w:pPr>
        <w:pStyle w:val="ListBullet"/>
      </w:pPr>
      <w:r>
        <w:t>Restbestand der alten Flyer (740 Stück) soll laut Kernteambeschluss vom 17.05.2026 nicht weiter verteilt werden. Hildegard Quast hat aber am 18.05.2026 zwei Stapel auf den Infoständen Waldmoor und Diepholz ausgelegt. Beschwerde liegt vor.</w:t>
      </w:r>
    </w:p>
    <w:p>
      <w:pPr>
        <w:pStyle w:val="Heading2"/>
      </w:pPr>
      <w:r>
        <w:rPr>
          <w:rFonts w:ascii="Times New Roman" w:hAnsi="Times New Roman"/>
        </w:rPr>
        <w:t>Kanzleinotiz</w:t>
      </w:r>
    </w:p>
    <w:p>
      <w:pPr>
        <w:jc w:val="left"/>
      </w:pPr>
      <w:r>
        <w:t>Die Flyer als solche lösen keine Registerpflicht aus (Bürgerausnahme). Werden sie aber als Werbemittel für adressierte Kommunikation an Abgeordnete eingesetzt ("schreiben Sie an alle Abgeordneten"), sind sie Teil der Lobbyingstrategie und im Registereintrag in der Tätigkeitsbeschreibung zu berücksichtigen. Die neue Fassung ist registertauglicher, aber kein Freibrief.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