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PRÜFVERMERK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26-RB-164 / cv</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Carolin Voß</w:t>
            </w:r>
          </w:p>
        </w:tc>
      </w:tr>
    </w:tbl>
    <w:p/>
    <w:p>
      <w:pPr>
        <w:pStyle w:val="Title"/>
      </w:pPr>
      <w:r>
        <w:rPr>
          <w:rFonts w:ascii="Arial" w:hAnsi="Arial" w:eastAsia="Arial"/>
          <w:b/>
          <w:color w:val="173941"/>
          <w:sz w:val="34"/>
        </w:rPr>
        <w:t>Fehlende Dienstzeit 1994 bis 2001 in der Harkort-Versorgung</w:t>
      </w:r>
    </w:p>
    <w:p>
      <w:pPr>
        <w:pStyle w:val="Heading1"/>
      </w:pPr>
      <w:r>
        <w:t>1. Ausgangspunkt</w:t>
      </w:r>
    </w:p>
    <w:p>
      <w:pPr>
        <w:jc w:val="both"/>
      </w:pPr>
      <w:r>
        <w:rPr>
          <w:rFonts w:ascii="Arial" w:hAnsi="Arial" w:eastAsia="Arial"/>
          <w:b w:val="0"/>
          <w:sz w:val="21"/>
        </w:rPr>
        <w:t>Die Auskunft der Harkort Versorgungskasse vom 16. Juni 2026 beginnt mit dem 1. Januar 2002. Bernd Lewe war nach Arbeitsvertrag und drei vorgelegten Entgeltabrechnungen bereits seit 1. Juli 1994 bei der Metallbau Fricke GmbH beschäftigt. Der Betrieb ging zum Jahreswechsel 2001/2002 auf die Stahlbau Harkort GmbH über.</w:t>
      </w:r>
    </w:p>
    <w:p>
      <w:pPr>
        <w:jc w:val="both"/>
      </w:pPr>
      <w:r>
        <w:rPr>
          <w:rFonts w:ascii="Arial" w:hAnsi="Arial" w:eastAsia="Arial"/>
          <w:b w:val="0"/>
          <w:sz w:val="21"/>
        </w:rPr>
        <w:t>Der Arbeitsvertrag vom 10. Dezember 2001 nennt als Eintrittsdatum den 1. Januar 2002, enthält aber den Zusatz, dass die bisherige Betriebszugehörigkeit einschließlich erworbener Rechte anerkannt werde. Ein gesondertes Überleitungsschreiben der Versorgungskasse liegt bislang nicht vor.</w:t>
      </w:r>
    </w:p>
    <w:p>
      <w:pPr>
        <w:pStyle w:val="Heading1"/>
      </w:pPr>
      <w:r>
        <w:t>2. Zahlenwirkung</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2721"/>
            <w:shd w:fill="E7EFF1"/>
            <w:vAlign w:val="center"/>
          </w:tcPr>
          <w:p>
            <w:r>
              <w:rPr>
                <w:rFonts w:ascii="Arial" w:hAnsi="Arial" w:eastAsia="Arial"/>
                <w:b/>
                <w:color w:val="173941"/>
                <w:sz w:val="17"/>
              </w:rPr>
              <w:t>Berechnung</w:t>
            </w:r>
          </w:p>
        </w:tc>
        <w:tc>
          <w:tcPr>
            <w:tcW w:type="dxa" w:w="1417"/>
            <w:shd w:fill="E7EFF1"/>
            <w:vAlign w:val="center"/>
          </w:tcPr>
          <w:p>
            <w:r>
              <w:rPr>
                <w:rFonts w:ascii="Arial" w:hAnsi="Arial" w:eastAsia="Arial"/>
                <w:b/>
                <w:color w:val="173941"/>
                <w:sz w:val="17"/>
              </w:rPr>
              <w:t>Dienstjahre</w:t>
            </w:r>
          </w:p>
        </w:tc>
        <w:tc>
          <w:tcPr>
            <w:tcW w:type="dxa" w:w="1814"/>
            <w:shd w:fill="E7EFF1"/>
            <w:vAlign w:val="center"/>
          </w:tcPr>
          <w:p>
            <w:r>
              <w:rPr>
                <w:rFonts w:ascii="Arial" w:hAnsi="Arial" w:eastAsia="Arial"/>
                <w:b/>
                <w:color w:val="173941"/>
                <w:sz w:val="17"/>
              </w:rPr>
              <w:t>Steigerung je Jahr</w:t>
            </w:r>
          </w:p>
        </w:tc>
        <w:tc>
          <w:tcPr>
            <w:tcW w:type="dxa" w:w="1701"/>
            <w:shd w:fill="E7EFF1"/>
            <w:vAlign w:val="center"/>
          </w:tcPr>
          <w:p>
            <w:r>
              <w:rPr>
                <w:rFonts w:ascii="Arial" w:hAnsi="Arial" w:eastAsia="Arial"/>
                <w:b/>
                <w:color w:val="173941"/>
                <w:sz w:val="17"/>
              </w:rPr>
              <w:t>Monatsbetrag</w:t>
            </w:r>
          </w:p>
        </w:tc>
        <w:tc>
          <w:tcPr>
            <w:tcW w:type="dxa" w:w="2665"/>
            <w:shd w:fill="E7EFF1"/>
            <w:vAlign w:val="center"/>
          </w:tcPr>
          <w:p>
            <w:r>
              <w:rPr>
                <w:rFonts w:ascii="Arial" w:hAnsi="Arial" w:eastAsia="Arial"/>
                <w:b/>
                <w:color w:val="173941"/>
                <w:sz w:val="17"/>
              </w:rPr>
              <w:t>Quelle</w:t>
            </w:r>
          </w:p>
        </w:tc>
      </w:tr>
      <w:tr>
        <w:tc>
          <w:tcPr>
            <w:tcW w:type="dxa" w:w="2721"/>
            <w:vAlign w:val="top"/>
          </w:tcPr>
          <w:p>
            <w:r>
              <w:rPr>
                <w:rFonts w:ascii="Arial" w:hAnsi="Arial" w:eastAsia="Arial"/>
                <w:b w:val="0"/>
                <w:sz w:val="16"/>
              </w:rPr>
              <w:t>Auskunft Versorgungskasse</w:t>
            </w:r>
          </w:p>
        </w:tc>
        <w:tc>
          <w:tcPr>
            <w:tcW w:type="dxa" w:w="1417"/>
            <w:vAlign w:val="top"/>
          </w:tcPr>
          <w:p>
            <w:r>
              <w:rPr>
                <w:rFonts w:ascii="Arial" w:hAnsi="Arial" w:eastAsia="Arial"/>
                <w:b w:val="0"/>
                <w:sz w:val="16"/>
              </w:rPr>
              <w:t>24</w:t>
            </w:r>
          </w:p>
        </w:tc>
        <w:tc>
          <w:tcPr>
            <w:tcW w:type="dxa" w:w="1814"/>
            <w:vAlign w:val="top"/>
          </w:tcPr>
          <w:p>
            <w:r>
              <w:rPr>
                <w:rFonts w:ascii="Arial" w:hAnsi="Arial" w:eastAsia="Arial"/>
                <w:b w:val="0"/>
                <w:sz w:val="16"/>
              </w:rPr>
              <w:t>11,60 EUR</w:t>
            </w:r>
          </w:p>
        </w:tc>
        <w:tc>
          <w:tcPr>
            <w:tcW w:type="dxa" w:w="1701"/>
            <w:vAlign w:val="top"/>
          </w:tcPr>
          <w:p>
            <w:r>
              <w:rPr>
                <w:rFonts w:ascii="Arial" w:hAnsi="Arial" w:eastAsia="Arial"/>
                <w:b w:val="0"/>
                <w:sz w:val="16"/>
              </w:rPr>
              <w:t>278,40 EUR</w:t>
            </w:r>
          </w:p>
        </w:tc>
        <w:tc>
          <w:tcPr>
            <w:tcW w:type="dxa" w:w="2665"/>
            <w:vAlign w:val="top"/>
          </w:tcPr>
          <w:p>
            <w:r>
              <w:rPr>
                <w:rFonts w:ascii="Arial" w:hAnsi="Arial" w:eastAsia="Arial"/>
                <w:b w:val="0"/>
                <w:sz w:val="16"/>
              </w:rPr>
              <w:t>Schreiben 16.06.2026</w:t>
            </w:r>
          </w:p>
        </w:tc>
      </w:tr>
      <w:tr>
        <w:tc>
          <w:tcPr>
            <w:tcW w:type="dxa" w:w="2721"/>
            <w:vAlign w:val="top"/>
          </w:tcPr>
          <w:p>
            <w:r>
              <w:rPr>
                <w:rFonts w:ascii="Arial" w:hAnsi="Arial" w:eastAsia="Arial"/>
                <w:b w:val="0"/>
                <w:sz w:val="16"/>
              </w:rPr>
              <w:t>mit Zeit ab 01.07.1994</w:t>
            </w:r>
          </w:p>
        </w:tc>
        <w:tc>
          <w:tcPr>
            <w:tcW w:type="dxa" w:w="1417"/>
            <w:vAlign w:val="top"/>
          </w:tcPr>
          <w:p>
            <w:r>
              <w:rPr>
                <w:rFonts w:ascii="Arial" w:hAnsi="Arial" w:eastAsia="Arial"/>
                <w:b w:val="0"/>
                <w:sz w:val="16"/>
              </w:rPr>
              <w:t>31,5</w:t>
            </w:r>
          </w:p>
        </w:tc>
        <w:tc>
          <w:tcPr>
            <w:tcW w:type="dxa" w:w="1814"/>
            <w:vAlign w:val="top"/>
          </w:tcPr>
          <w:p>
            <w:r>
              <w:rPr>
                <w:rFonts w:ascii="Arial" w:hAnsi="Arial" w:eastAsia="Arial"/>
                <w:b w:val="0"/>
                <w:sz w:val="16"/>
              </w:rPr>
              <w:t>11,60 EUR</w:t>
            </w:r>
          </w:p>
        </w:tc>
        <w:tc>
          <w:tcPr>
            <w:tcW w:type="dxa" w:w="1701"/>
            <w:vAlign w:val="top"/>
          </w:tcPr>
          <w:p>
            <w:r>
              <w:rPr>
                <w:rFonts w:ascii="Arial" w:hAnsi="Arial" w:eastAsia="Arial"/>
                <w:b w:val="0"/>
                <w:sz w:val="16"/>
              </w:rPr>
              <w:t>365,40 EUR</w:t>
            </w:r>
          </w:p>
        </w:tc>
        <w:tc>
          <w:tcPr>
            <w:tcW w:type="dxa" w:w="2665"/>
            <w:vAlign w:val="top"/>
          </w:tcPr>
          <w:p>
            <w:r>
              <w:rPr>
                <w:rFonts w:ascii="Arial" w:hAnsi="Arial" w:eastAsia="Arial"/>
                <w:b w:val="0"/>
                <w:sz w:val="16"/>
              </w:rPr>
              <w:t>vorläufige Kontrollrechnung</w:t>
            </w:r>
          </w:p>
        </w:tc>
      </w:tr>
      <w:tr>
        <w:tc>
          <w:tcPr>
            <w:tcW w:type="dxa" w:w="2721"/>
            <w:vAlign w:val="top"/>
          </w:tcPr>
          <w:p>
            <w:r>
              <w:rPr>
                <w:rFonts w:ascii="Arial" w:hAnsi="Arial" w:eastAsia="Arial"/>
                <w:b w:val="0"/>
                <w:sz w:val="16"/>
              </w:rPr>
              <w:t>vorläufige Differenz</w:t>
            </w:r>
          </w:p>
        </w:tc>
        <w:tc>
          <w:tcPr>
            <w:tcW w:type="dxa" w:w="1417"/>
            <w:vAlign w:val="top"/>
          </w:tcPr>
          <w:p>
            <w:r>
              <w:rPr>
                <w:rFonts w:ascii="Arial" w:hAnsi="Arial" w:eastAsia="Arial"/>
                <w:b w:val="0"/>
                <w:sz w:val="16"/>
              </w:rPr>
              <w:t>7,5</w:t>
            </w:r>
          </w:p>
        </w:tc>
        <w:tc>
          <w:tcPr>
            <w:tcW w:type="dxa" w:w="1814"/>
            <w:vAlign w:val="top"/>
          </w:tcPr>
          <w:p>
            <w:r>
              <w:rPr>
                <w:rFonts w:ascii="Arial" w:hAnsi="Arial" w:eastAsia="Arial"/>
                <w:b w:val="0"/>
                <w:sz w:val="16"/>
              </w:rPr>
              <w:t>11,60 EUR</w:t>
            </w:r>
          </w:p>
        </w:tc>
        <w:tc>
          <w:tcPr>
            <w:tcW w:type="dxa" w:w="1701"/>
            <w:vAlign w:val="top"/>
          </w:tcPr>
          <w:p>
            <w:r>
              <w:rPr>
                <w:rFonts w:ascii="Arial" w:hAnsi="Arial" w:eastAsia="Arial"/>
                <w:b w:val="0"/>
                <w:sz w:val="16"/>
              </w:rPr>
              <w:t>87,00 EUR</w:t>
            </w:r>
          </w:p>
        </w:tc>
        <w:tc>
          <w:tcPr>
            <w:tcW w:type="dxa" w:w="2665"/>
            <w:vAlign w:val="top"/>
          </w:tcPr>
          <w:p>
            <w:r>
              <w:rPr>
                <w:rFonts w:ascii="Arial" w:hAnsi="Arial" w:eastAsia="Arial"/>
                <w:b w:val="0"/>
                <w:sz w:val="16"/>
              </w:rPr>
              <w:t>noch ohne Begrenzung und Rentenfaktor</w:t>
            </w:r>
          </w:p>
        </w:tc>
      </w:tr>
    </w:tbl>
    <w:p/>
    <w:p>
      <w:pPr>
        <w:pStyle w:val="Heading1"/>
      </w:pPr>
      <w:r>
        <w:t>3. Noch zu beschaffende Unterlagen</w:t>
      </w:r>
    </w:p>
    <w:p>
      <w:pPr>
        <w:jc w:val="both"/>
      </w:pPr>
      <w:r>
        <w:rPr>
          <w:rFonts w:ascii="Arial" w:hAnsi="Arial" w:eastAsia="Arial"/>
          <w:b w:val="0"/>
          <w:sz w:val="21"/>
        </w:rPr>
        <w:t>Benötigt werden die bei Fricke geltende Versorgungsordnung, ein Nachweis über die Anmeldung oder Beitragszahlung vor 2002, die Überleitungsvereinbarung zum Betriebsübergang, der vollständige Harkort-Versorgungsplan 1998 und die individuelle Berechnung der Kasse. Der Satz im Arbeitsvertrag allein klärt noch nicht, ob frühere Dienstzeit für genau diese Versorgung zugesagt wurde.</w:t>
      </w:r>
    </w:p>
    <w:p>
      <w:pPr>
        <w:pStyle w:val="Heading1"/>
      </w:pPr>
      <w:r>
        <w:t>4. Zeugen und Fundstellen</w:t>
      </w:r>
    </w:p>
    <w:p>
      <w:pPr>
        <w:jc w:val="both"/>
      </w:pPr>
      <w:r>
        <w:rPr>
          <w:rFonts w:ascii="Arial" w:hAnsi="Arial" w:eastAsia="Arial"/>
          <w:b w:val="0"/>
          <w:sz w:val="21"/>
        </w:rPr>
        <w:t>Als mögliche Auskunftspersonen kommen die frühere Personalsachbearbeiterin Ute Brockmann und der damalige Betriebsratsvorsitzende Jürgen Feld in Betracht. Herr Lewe will am 8. Juli seinen Kellerordner und eine alte Diskette mit Personalmitteilungen durchsuchen. Die Personalakte ist mit konkreter Aufzählung anzufordern; eine bloße Bestätigung des Eintrittsdatums reicht nicht.</w:t>
      </w:r>
    </w:p>
    <w:p>
      <w:pPr>
        <w:pStyle w:val="Heading1"/>
      </w:pPr>
      <w:r>
        <w:t>5. Arbeitsauftrag</w:t>
      </w:r>
    </w:p>
    <w:p>
      <w:pPr>
        <w:jc w:val="both"/>
      </w:pPr>
      <w:r>
        <w:rPr>
          <w:rFonts w:ascii="Arial" w:hAnsi="Arial" w:eastAsia="Arial"/>
          <w:b w:val="0"/>
          <w:sz w:val="21"/>
        </w:rPr>
        <w:t>Zunächst wird die Versorgungskasse um Rechenblatt, Rechtsgrundlage des Eintrittsdatums und Bestandsunterlagen gebeten. Parallel erhält Harkort eine Auskunftsanforderung zu Fricke, Betriebsübergang und Dienstzeitanerkennung. Eine Bezifferung wird erst nach Prüfung von Rentenfaktor, Altersgrenze und etwaigen Höchstgrenzen abgegeben.</w:t>
      </w:r>
    </w:p>
    <w:p>
      <w:pPr>
        <w:spacing w:before="280"/>
      </w:pPr>
      <w:r>
        <w:rPr>
          <w:rFonts w:ascii="Arial" w:hAnsi="Arial" w:eastAsia="Arial"/>
          <w:b/>
          <w:sz w:val="21"/>
        </w:rPr>
        <w:t>Carolin Voß</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26-RB-164 · Lewe / Harkort</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Carolin Voß</w:t>
    </w:r>
  </w:p>
  <w:p>
    <w:pPr>
      <w:spacing w:after="0"/>
    </w:pPr>
    <w:r>
      <w:rPr>
        <w:rFonts w:ascii="Arial" w:hAnsi="Arial" w:eastAsia="Arial"/>
        <w:b w:val="0"/>
        <w:color w:val="5C6569"/>
        <w:sz w:val="14"/>
      </w:rPr>
      <w:t>Hohe Straße 11 · 44139 Dortmund</w:t>
    </w:r>
  </w:p>
  <w:p>
    <w:pPr>
      <w:spacing w:after="0"/>
    </w:pPr>
    <w:r>
      <w:rPr>
        <w:rFonts w:ascii="Arial" w:hAnsi="Arial" w:eastAsia="Arial"/>
        <w:b w:val="0"/>
        <w:color w:val="5C6569"/>
        <w:sz w:val="14"/>
      </w:rPr>
      <w:t>Telefon 0231 44896-0 · Telefax 0231 44896-29 · kanzlei@rentenberatung-voss.de</w:t>
    </w:r>
  </w:p>
  <w:p>
    <w:pPr>
      <w:spacing w:after="0"/>
    </w:pPr>
    <w:r>
      <w:rPr>
        <w:rFonts w:ascii="Arial" w:hAnsi="Arial" w:eastAsia="Arial"/>
        <w:b w:val="0"/>
        <w:color w:val="5C6569"/>
        <w:sz w:val="14"/>
      </w:rPr>
      <w:t>Rentenberaterin Carolin Voß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Fehlende Dienstzeit 1994 bis 2001 in der Harkort-Versorgung</dc:title>
  <dc:subject>26-RB-164 / cv</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