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BEFUND- UND FUNKTIONSCHRONIK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26-RB-164 / cv</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Carolin Voß</w:t>
            </w:r>
          </w:p>
        </w:tc>
      </w:tr>
    </w:tbl>
    <w:p/>
    <w:p>
      <w:pPr>
        <w:pStyle w:val="Title"/>
      </w:pPr>
      <w:r>
        <w:rPr>
          <w:rFonts w:ascii="Arial" w:hAnsi="Arial" w:eastAsia="Arial"/>
          <w:b/>
          <w:color w:val="173941"/>
          <w:sz w:val="34"/>
        </w:rPr>
        <w:t>Bernd Lewe: Erwerbsminderung nach Herzinfarkt und depressiver Erschöpfung</w:t>
      </w:r>
    </w:p>
    <w:p>
      <w:pPr>
        <w:pStyle w:val="Heading1"/>
      </w:pPr>
      <w:r>
        <w:t>1. Akutereignis und Behandlung</w:t>
      </w:r>
    </w:p>
    <w:p>
      <w:pPr>
        <w:jc w:val="both"/>
      </w:pPr>
      <w:r>
        <w:rPr>
          <w:rFonts w:ascii="Arial" w:hAnsi="Arial" w:eastAsia="Arial"/>
          <w:b w:val="0"/>
          <w:sz w:val="21"/>
        </w:rPr>
        <w:t>Am 12. Februar 2026 erlitt Herr Lewe während einer Baustellenbesprechung in Waltrop einen NSTEMI. Im Klinikum Dortmund wurde die rechte Koronararterie mit einem Stent versorgt. Die Anschlussrehabilitation fand vom 20. März bis 10. April in Bad Sassendorf statt. Seit 11. April besteht hausärztlich bestätigte Arbeitsunfähigkeit; Krankengeld wird seit 26. März gezahlt.</w:t>
      </w:r>
    </w:p>
    <w:p>
      <w:pPr>
        <w:pStyle w:val="Heading1"/>
      </w:pPr>
      <w:r>
        <w:t>2. Medizinische Unterlagen</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1417"/>
            <w:shd w:fill="E7EFF1"/>
            <w:vAlign w:val="center"/>
          </w:tcPr>
          <w:p>
            <w:r>
              <w:rPr>
                <w:rFonts w:ascii="Arial" w:hAnsi="Arial" w:eastAsia="Arial"/>
                <w:b/>
                <w:color w:val="173941"/>
                <w:sz w:val="17"/>
              </w:rPr>
              <w:t>Datum</w:t>
            </w:r>
          </w:p>
        </w:tc>
        <w:tc>
          <w:tcPr>
            <w:tcW w:type="dxa" w:w="2154"/>
            <w:shd w:fill="E7EFF1"/>
            <w:vAlign w:val="center"/>
          </w:tcPr>
          <w:p>
            <w:r>
              <w:rPr>
                <w:rFonts w:ascii="Arial" w:hAnsi="Arial" w:eastAsia="Arial"/>
                <w:b/>
                <w:color w:val="173941"/>
                <w:sz w:val="17"/>
              </w:rPr>
              <w:t>Stelle</w:t>
            </w:r>
          </w:p>
        </w:tc>
        <w:tc>
          <w:tcPr>
            <w:tcW w:type="dxa" w:w="2381"/>
            <w:shd w:fill="E7EFF1"/>
            <w:vAlign w:val="center"/>
          </w:tcPr>
          <w:p>
            <w:r>
              <w:rPr>
                <w:rFonts w:ascii="Arial" w:hAnsi="Arial" w:eastAsia="Arial"/>
                <w:b/>
                <w:color w:val="173941"/>
                <w:sz w:val="17"/>
              </w:rPr>
              <w:t>Befund</w:t>
            </w:r>
          </w:p>
        </w:tc>
        <w:tc>
          <w:tcPr>
            <w:tcW w:type="dxa" w:w="2665"/>
            <w:shd w:fill="E7EFF1"/>
            <w:vAlign w:val="center"/>
          </w:tcPr>
          <w:p>
            <w:r>
              <w:rPr>
                <w:rFonts w:ascii="Arial" w:hAnsi="Arial" w:eastAsia="Arial"/>
                <w:b/>
                <w:color w:val="173941"/>
                <w:sz w:val="17"/>
              </w:rPr>
              <w:t>Funktionelle Aussage</w:t>
            </w:r>
          </w:p>
        </w:tc>
        <w:tc>
          <w:tcPr>
            <w:tcW w:type="dxa" w:w="1814"/>
            <w:shd w:fill="E7EFF1"/>
            <w:vAlign w:val="center"/>
          </w:tcPr>
          <w:p>
            <w:r>
              <w:rPr>
                <w:rFonts w:ascii="Arial" w:hAnsi="Arial" w:eastAsia="Arial"/>
                <w:b/>
                <w:color w:val="173941"/>
                <w:sz w:val="17"/>
              </w:rPr>
              <w:t>Offener Punkt</w:t>
            </w:r>
          </w:p>
        </w:tc>
      </w:tr>
      <w:tr>
        <w:tc>
          <w:tcPr>
            <w:tcW w:type="dxa" w:w="1417"/>
            <w:vAlign w:val="top"/>
          </w:tcPr>
          <w:p>
            <w:r>
              <w:rPr>
                <w:rFonts w:ascii="Arial" w:hAnsi="Arial" w:eastAsia="Arial"/>
                <w:b w:val="0"/>
                <w:sz w:val="16"/>
              </w:rPr>
              <w:t>12.02.2026</w:t>
            </w:r>
          </w:p>
        </w:tc>
        <w:tc>
          <w:tcPr>
            <w:tcW w:type="dxa" w:w="2154"/>
            <w:vAlign w:val="top"/>
          </w:tcPr>
          <w:p>
            <w:r>
              <w:rPr>
                <w:rFonts w:ascii="Arial" w:hAnsi="Arial" w:eastAsia="Arial"/>
                <w:b w:val="0"/>
                <w:sz w:val="16"/>
              </w:rPr>
              <w:t>Klinikum Dortmund</w:t>
            </w:r>
          </w:p>
        </w:tc>
        <w:tc>
          <w:tcPr>
            <w:tcW w:type="dxa" w:w="2381"/>
            <w:vAlign w:val="top"/>
          </w:tcPr>
          <w:p>
            <w:r>
              <w:rPr>
                <w:rFonts w:ascii="Arial" w:hAnsi="Arial" w:eastAsia="Arial"/>
                <w:b w:val="0"/>
                <w:sz w:val="16"/>
              </w:rPr>
              <w:t>NSTEMI, Stent RCA</w:t>
            </w:r>
          </w:p>
        </w:tc>
        <w:tc>
          <w:tcPr>
            <w:tcW w:type="dxa" w:w="2665"/>
            <w:vAlign w:val="top"/>
          </w:tcPr>
          <w:p>
            <w:r>
              <w:rPr>
                <w:rFonts w:ascii="Arial" w:hAnsi="Arial" w:eastAsia="Arial"/>
                <w:b w:val="0"/>
                <w:sz w:val="16"/>
              </w:rPr>
              <w:t>keine Belastung in Akutphase</w:t>
            </w:r>
          </w:p>
        </w:tc>
        <w:tc>
          <w:tcPr>
            <w:tcW w:type="dxa" w:w="1814"/>
            <w:vAlign w:val="top"/>
          </w:tcPr>
          <w:p>
            <w:r>
              <w:rPr>
                <w:rFonts w:ascii="Arial" w:hAnsi="Arial" w:eastAsia="Arial"/>
                <w:b w:val="0"/>
                <w:sz w:val="16"/>
              </w:rPr>
              <w:t>vollständiger Entlassungsbrief fehlt</w:t>
            </w:r>
          </w:p>
        </w:tc>
      </w:tr>
      <w:tr>
        <w:tc>
          <w:tcPr>
            <w:tcW w:type="dxa" w:w="1417"/>
            <w:vAlign w:val="top"/>
          </w:tcPr>
          <w:p>
            <w:r>
              <w:rPr>
                <w:rFonts w:ascii="Arial" w:hAnsi="Arial" w:eastAsia="Arial"/>
                <w:b w:val="0"/>
                <w:sz w:val="16"/>
              </w:rPr>
              <w:t>10.04.2026</w:t>
            </w:r>
          </w:p>
        </w:tc>
        <w:tc>
          <w:tcPr>
            <w:tcW w:type="dxa" w:w="2154"/>
            <w:vAlign w:val="top"/>
          </w:tcPr>
          <w:p>
            <w:r>
              <w:rPr>
                <w:rFonts w:ascii="Arial" w:hAnsi="Arial" w:eastAsia="Arial"/>
                <w:b w:val="0"/>
                <w:sz w:val="16"/>
              </w:rPr>
              <w:t>Rehaklinik Bad Sassendorf</w:t>
            </w:r>
          </w:p>
        </w:tc>
        <w:tc>
          <w:tcPr>
            <w:tcW w:type="dxa" w:w="2381"/>
            <w:vAlign w:val="top"/>
          </w:tcPr>
          <w:p>
            <w:r>
              <w:rPr>
                <w:rFonts w:ascii="Arial" w:hAnsi="Arial" w:eastAsia="Arial"/>
                <w:b w:val="0"/>
                <w:sz w:val="16"/>
              </w:rPr>
              <w:t>Belastbarkeit 75 Watt</w:t>
            </w:r>
          </w:p>
        </w:tc>
        <w:tc>
          <w:tcPr>
            <w:tcW w:type="dxa" w:w="2665"/>
            <w:vAlign w:val="top"/>
          </w:tcPr>
          <w:p>
            <w:r>
              <w:rPr>
                <w:rFonts w:ascii="Arial" w:hAnsi="Arial" w:eastAsia="Arial"/>
                <w:b w:val="0"/>
                <w:sz w:val="16"/>
              </w:rPr>
              <w:t>leichte Tätigkeit 4 bis 6 Stunden, keine Baustellenwege</w:t>
            </w:r>
          </w:p>
        </w:tc>
        <w:tc>
          <w:tcPr>
            <w:tcW w:type="dxa" w:w="1814"/>
            <w:vAlign w:val="top"/>
          </w:tcPr>
          <w:p>
            <w:r>
              <w:rPr>
                <w:rFonts w:ascii="Arial" w:hAnsi="Arial" w:eastAsia="Arial"/>
                <w:b w:val="0"/>
                <w:sz w:val="16"/>
              </w:rPr>
              <w:t>Pausenbedarf nicht beziffert</w:t>
            </w:r>
          </w:p>
        </w:tc>
      </w:tr>
      <w:tr>
        <w:tc>
          <w:tcPr>
            <w:tcW w:type="dxa" w:w="1417"/>
            <w:vAlign w:val="top"/>
          </w:tcPr>
          <w:p>
            <w:r>
              <w:rPr>
                <w:rFonts w:ascii="Arial" w:hAnsi="Arial" w:eastAsia="Arial"/>
                <w:b w:val="0"/>
                <w:sz w:val="16"/>
              </w:rPr>
              <w:t>22.06.2026</w:t>
            </w:r>
          </w:p>
        </w:tc>
        <w:tc>
          <w:tcPr>
            <w:tcW w:type="dxa" w:w="2154"/>
            <w:vAlign w:val="top"/>
          </w:tcPr>
          <w:p>
            <w:r>
              <w:rPr>
                <w:rFonts w:ascii="Arial" w:hAnsi="Arial" w:eastAsia="Arial"/>
                <w:b w:val="0"/>
                <w:sz w:val="16"/>
              </w:rPr>
              <w:t>Dr. Schulte, Psychiatrie</w:t>
            </w:r>
          </w:p>
        </w:tc>
        <w:tc>
          <w:tcPr>
            <w:tcW w:type="dxa" w:w="2381"/>
            <w:vAlign w:val="top"/>
          </w:tcPr>
          <w:p>
            <w:r>
              <w:rPr>
                <w:rFonts w:ascii="Arial" w:hAnsi="Arial" w:eastAsia="Arial"/>
                <w:b w:val="0"/>
                <w:sz w:val="16"/>
              </w:rPr>
              <w:t>depressive Episode, Panik bei Baustellengeräuschen</w:t>
            </w:r>
          </w:p>
        </w:tc>
        <w:tc>
          <w:tcPr>
            <w:tcW w:type="dxa" w:w="2665"/>
            <w:vAlign w:val="top"/>
          </w:tcPr>
          <w:p>
            <w:r>
              <w:rPr>
                <w:rFonts w:ascii="Arial" w:hAnsi="Arial" w:eastAsia="Arial"/>
                <w:b w:val="0"/>
                <w:sz w:val="16"/>
              </w:rPr>
              <w:t>Konzentrationsabbrüche und Vermeidung</w:t>
            </w:r>
          </w:p>
        </w:tc>
        <w:tc>
          <w:tcPr>
            <w:tcW w:type="dxa" w:w="1814"/>
            <w:vAlign w:val="top"/>
          </w:tcPr>
          <w:p>
            <w:r>
              <w:rPr>
                <w:rFonts w:ascii="Arial" w:hAnsi="Arial" w:eastAsia="Arial"/>
                <w:b w:val="0"/>
                <w:sz w:val="16"/>
              </w:rPr>
              <w:t>Verlaufsbericht nach Therapiebeginn</w:t>
            </w:r>
          </w:p>
        </w:tc>
      </w:tr>
      <w:tr>
        <w:tc>
          <w:tcPr>
            <w:tcW w:type="dxa" w:w="1417"/>
            <w:vAlign w:val="top"/>
          </w:tcPr>
          <w:p>
            <w:r>
              <w:rPr>
                <w:rFonts w:ascii="Arial" w:hAnsi="Arial" w:eastAsia="Arial"/>
                <w:b w:val="0"/>
                <w:sz w:val="16"/>
              </w:rPr>
              <w:t>29.06.2026</w:t>
            </w:r>
          </w:p>
        </w:tc>
        <w:tc>
          <w:tcPr>
            <w:tcW w:type="dxa" w:w="2154"/>
            <w:vAlign w:val="top"/>
          </w:tcPr>
          <w:p>
            <w:r>
              <w:rPr>
                <w:rFonts w:ascii="Arial" w:hAnsi="Arial" w:eastAsia="Arial"/>
                <w:b w:val="0"/>
                <w:sz w:val="16"/>
              </w:rPr>
              <w:t>Hausarzt Dr. Möller</w:t>
            </w:r>
          </w:p>
        </w:tc>
        <w:tc>
          <w:tcPr>
            <w:tcW w:type="dxa" w:w="2381"/>
            <w:vAlign w:val="top"/>
          </w:tcPr>
          <w:p>
            <w:r>
              <w:rPr>
                <w:rFonts w:ascii="Arial" w:hAnsi="Arial" w:eastAsia="Arial"/>
                <w:b w:val="0"/>
                <w:sz w:val="16"/>
              </w:rPr>
              <w:t>Schlafstörung, Erschöpfung</w:t>
            </w:r>
          </w:p>
        </w:tc>
        <w:tc>
          <w:tcPr>
            <w:tcW w:type="dxa" w:w="2665"/>
            <w:vAlign w:val="top"/>
          </w:tcPr>
          <w:p>
            <w:r>
              <w:rPr>
                <w:rFonts w:ascii="Arial" w:hAnsi="Arial" w:eastAsia="Arial"/>
                <w:b w:val="0"/>
                <w:sz w:val="16"/>
              </w:rPr>
              <w:t>Rückkehr in Projektleitung derzeit ausgeschlossen</w:t>
            </w:r>
          </w:p>
        </w:tc>
        <w:tc>
          <w:tcPr>
            <w:tcW w:type="dxa" w:w="1814"/>
            <w:vAlign w:val="top"/>
          </w:tcPr>
          <w:p>
            <w:r>
              <w:rPr>
                <w:rFonts w:ascii="Arial" w:hAnsi="Arial" w:eastAsia="Arial"/>
                <w:b w:val="0"/>
                <w:sz w:val="16"/>
              </w:rPr>
              <w:t>keine Aussage zu anderem Arbeitsmarkt</w:t>
            </w:r>
          </w:p>
        </w:tc>
      </w:tr>
    </w:tbl>
    <w:p/>
    <w:p>
      <w:pPr>
        <w:pStyle w:val="Heading1"/>
      </w:pPr>
      <w:r>
        <w:t>3. Früheres Tätigkeitsbild</w:t>
      </w:r>
    </w:p>
    <w:p>
      <w:pPr>
        <w:jc w:val="both"/>
      </w:pPr>
      <w:r>
        <w:rPr>
          <w:rFonts w:ascii="Arial" w:hAnsi="Arial" w:eastAsia="Arial"/>
          <w:b w:val="0"/>
          <w:sz w:val="21"/>
        </w:rPr>
        <w:t>Die Projektleitung war nicht überwiegend körperlich schwer. Sie verlangte aber tägliche Baustellenwege von 700 bis 2400 Metern, Treppen und Gerüste, kurzfristige Konfliktgespräche, Terminsteuerung sowie Fahrten von bis zu 180 Kilometern. Herr Lewe berichtet, dass Baustellenlärm seit dem Infarkt Herzrasen und Abbruchimpulse auslöst. Diese Angaben müssen zeitnah durch Arbeitgeber, Kalender und Behandlung dokumentiert werden.</w:t>
      </w:r>
    </w:p>
    <w:p>
      <w:pPr>
        <w:pStyle w:val="Heading1"/>
      </w:pPr>
      <w:r>
        <w:t>4. Alltagsfunktion</w:t>
      </w:r>
    </w:p>
    <w:p>
      <w:pPr>
        <w:jc w:val="both"/>
      </w:pPr>
      <w:r>
        <w:rPr>
          <w:rFonts w:ascii="Arial" w:hAnsi="Arial" w:eastAsia="Arial"/>
          <w:b w:val="0"/>
          <w:sz w:val="21"/>
        </w:rPr>
        <w:t>An guten Vormittagen erledigt Herr Lewe Schriftverkehr für 30 bis 45 Minuten. Danach benötigt er eine längere Pause. Einkäufe übernimmt meist seine Ehefrau. Zwei Spaziergänge von jeweils etwa 600 Metern gelangen in der Woche vor dem 6. Juli; an drei Tagen verließ er die Wohnung nur zu Behandlungsterminen. Ein strukturiertes vierwöchiges Belastungsprotokoll fehlt.</w:t>
      </w:r>
    </w:p>
    <w:p>
      <w:pPr>
        <w:pStyle w:val="Heading1"/>
      </w:pPr>
      <w:r>
        <w:t>5. Nächste Beweissicherung</w:t>
      </w:r>
    </w:p>
    <w:p>
      <w:pPr>
        <w:jc w:val="both"/>
      </w:pPr>
      <w:r>
        <w:rPr>
          <w:rFonts w:ascii="Arial" w:hAnsi="Arial" w:eastAsia="Arial"/>
          <w:b w:val="0"/>
          <w:sz w:val="21"/>
        </w:rPr>
        <w:t>Anzufordern sind vollständiger Reha-Bericht, kardiologisches Belastungsprotokoll, aktueller Medikamentenplan, Therapieverlauf Dr. Schulte und eine Arbeitgeberbeschreibung der konkreten Wege- und Stressanforderungen. Aussagen zur täglichen Leistungsdauer werden getrennt nach körperlicher Belastung, Konzentration, Wegefähigkeit und Planbarkeit erhoben.</w:t>
      </w:r>
    </w:p>
    <w:p>
      <w:pPr>
        <w:spacing w:before="280"/>
      </w:pPr>
      <w:r>
        <w:rPr>
          <w:rFonts w:ascii="Arial" w:hAnsi="Arial" w:eastAsia="Arial"/>
          <w:b/>
          <w:sz w:val="21"/>
        </w:rPr>
        <w:t>Carolin Voß</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26-RB-164 · medizinischer Arbeitsstand</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Carolin Voß</w:t>
    </w:r>
  </w:p>
  <w:p>
    <w:pPr>
      <w:spacing w:after="0"/>
    </w:pPr>
    <w:r>
      <w:rPr>
        <w:rFonts w:ascii="Arial" w:hAnsi="Arial" w:eastAsia="Arial"/>
        <w:b w:val="0"/>
        <w:color w:val="5C6569"/>
        <w:sz w:val="14"/>
      </w:rPr>
      <w:t>Hohe Straße 11 · 44139 Dortmund</w:t>
    </w:r>
  </w:p>
  <w:p>
    <w:pPr>
      <w:spacing w:after="0"/>
    </w:pPr>
    <w:r>
      <w:rPr>
        <w:rFonts w:ascii="Arial" w:hAnsi="Arial" w:eastAsia="Arial"/>
        <w:b w:val="0"/>
        <w:color w:val="5C6569"/>
        <w:sz w:val="14"/>
      </w:rPr>
      <w:t>Telefon 0231 44896-0 · Telefax 0231 44896-29 · kanzlei@rentenberatung-voss.de</w:t>
    </w:r>
  </w:p>
  <w:p>
    <w:pPr>
      <w:spacing w:after="0"/>
    </w:pPr>
    <w:r>
      <w:rPr>
        <w:rFonts w:ascii="Arial" w:hAnsi="Arial" w:eastAsia="Arial"/>
        <w:b w:val="0"/>
        <w:color w:val="5C6569"/>
        <w:sz w:val="14"/>
      </w:rPr>
      <w:t>Rentenberaterin Carolin Voß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Bernd Lewe: Erwerbsminderung nach Herzinfarkt und depressiver Erschöpfung</dc:title>
  <dc:subject>26-RB-164 / cv</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