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TATSACHEN- UND BEWEISMATRIX</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26-STA-088 / jk</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 Kappes</w:t>
            </w:r>
          </w:p>
        </w:tc>
      </w:tr>
    </w:tbl>
    <w:p/>
    <w:p>
      <w:pPr>
        <w:pStyle w:val="Title"/>
      </w:pPr>
      <w:r>
        <w:rPr>
          <w:rFonts w:ascii="Arial" w:hAnsi="Arial" w:eastAsia="Arial"/>
          <w:b/>
          <w:color w:val="173941"/>
          <w:sz w:val="34"/>
        </w:rPr>
        <w:t>Statusprüfung Selim Özkan und Fallgruppen der Kurierfahrer</w:t>
      </w:r>
    </w:p>
    <w:p>
      <w:pPr>
        <w:pStyle w:val="Heading1"/>
      </w:pPr>
      <w:r>
        <w:t>1. Bewertungszeitraum</w:t>
      </w:r>
    </w:p>
    <w:p>
      <w:pPr>
        <w:jc w:val="both"/>
      </w:pPr>
      <w:r>
        <w:rPr>
          <w:rFonts w:ascii="Arial" w:hAnsi="Arial" w:eastAsia="Arial"/>
          <w:b w:val="0"/>
          <w:sz w:val="21"/>
        </w:rPr>
        <w:t>Die tatsächliche Durchführung wird monatsweise geprüft. Bei Selim Özkan ist insbesondere zu klären, ob sich die Zusammenarbeit ab 14. Oktober 2025 durch die feste Laborroute verändert hat. Vertragswortlaut, technische App-Funktion und gelebte Disposition werden getrennt erfasst.</w:t>
      </w:r>
    </w:p>
    <w:p>
      <w:pPr>
        <w:pStyle w:val="Heading1"/>
      </w:pPr>
      <w:r>
        <w:t>2. Selim Özkan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701"/>
            <w:shd w:fill="E7EFF1"/>
            <w:vAlign w:val="center"/>
          </w:tcPr>
          <w:p>
            <w:r>
              <w:rPr>
                <w:rFonts w:ascii="Arial" w:hAnsi="Arial" w:eastAsia="Arial"/>
                <w:b/>
                <w:color w:val="173941"/>
                <w:sz w:val="17"/>
              </w:rPr>
              <w:t>Merkmal</w:t>
            </w:r>
          </w:p>
        </w:tc>
        <w:tc>
          <w:tcPr>
            <w:tcW w:type="dxa" w:w="2268"/>
            <w:shd w:fill="E7EFF1"/>
            <w:vAlign w:val="center"/>
          </w:tcPr>
          <w:p>
            <w:r>
              <w:rPr>
                <w:rFonts w:ascii="Arial" w:hAnsi="Arial" w:eastAsia="Arial"/>
                <w:b/>
                <w:color w:val="173941"/>
                <w:sz w:val="17"/>
              </w:rPr>
              <w:t>Material</w:t>
            </w:r>
          </w:p>
        </w:tc>
        <w:tc>
          <w:tcPr>
            <w:tcW w:type="dxa" w:w="2665"/>
            <w:shd w:fill="E7EFF1"/>
            <w:vAlign w:val="center"/>
          </w:tcPr>
          <w:p>
            <w:r>
              <w:rPr>
                <w:rFonts w:ascii="Arial" w:hAnsi="Arial" w:eastAsia="Arial"/>
                <w:b/>
                <w:color w:val="173941"/>
                <w:sz w:val="17"/>
              </w:rPr>
              <w:t>Für Beschäftigung</w:t>
            </w:r>
          </w:p>
        </w:tc>
        <w:tc>
          <w:tcPr>
            <w:tcW w:type="dxa" w:w="2665"/>
            <w:shd w:fill="E7EFF1"/>
            <w:vAlign w:val="center"/>
          </w:tcPr>
          <w:p>
            <w:r>
              <w:rPr>
                <w:rFonts w:ascii="Arial" w:hAnsi="Arial" w:eastAsia="Arial"/>
                <w:b/>
                <w:color w:val="173941"/>
                <w:sz w:val="17"/>
              </w:rPr>
              <w:t>Für Selbstständigkeit</w:t>
            </w:r>
          </w:p>
        </w:tc>
        <w:tc>
          <w:tcPr>
            <w:tcW w:type="dxa" w:w="2381"/>
            <w:shd w:fill="E7EFF1"/>
            <w:vAlign w:val="center"/>
          </w:tcPr>
          <w:p>
            <w:r>
              <w:rPr>
                <w:rFonts w:ascii="Arial" w:hAnsi="Arial" w:eastAsia="Arial"/>
                <w:b/>
                <w:color w:val="173941"/>
                <w:sz w:val="17"/>
              </w:rPr>
              <w:t>Noch zu sichern</w:t>
            </w:r>
          </w:p>
        </w:tc>
      </w:tr>
      <w:tr>
        <w:tc>
          <w:tcPr>
            <w:tcW w:type="dxa" w:w="1701"/>
            <w:vAlign w:val="top"/>
          </w:tcPr>
          <w:p>
            <w:r>
              <w:rPr>
                <w:rFonts w:ascii="Arial" w:hAnsi="Arial" w:eastAsia="Arial"/>
                <w:b w:val="0"/>
                <w:sz w:val="16"/>
              </w:rPr>
              <w:t>Tourenannahme</w:t>
            </w:r>
          </w:p>
        </w:tc>
        <w:tc>
          <w:tcPr>
            <w:tcW w:type="dxa" w:w="2268"/>
            <w:vAlign w:val="top"/>
          </w:tcPr>
          <w:p>
            <w:r>
              <w:rPr>
                <w:rFonts w:ascii="Arial" w:hAnsi="Arial" w:eastAsia="Arial"/>
                <w:b w:val="0"/>
                <w:sz w:val="16"/>
              </w:rPr>
              <w:t>App-Logs und Rankingmail</w:t>
            </w:r>
          </w:p>
        </w:tc>
        <w:tc>
          <w:tcPr>
            <w:tcW w:type="dxa" w:w="2665"/>
            <w:vAlign w:val="top"/>
          </w:tcPr>
          <w:p>
            <w:r>
              <w:rPr>
                <w:rFonts w:ascii="Arial" w:hAnsi="Arial" w:eastAsia="Arial"/>
                <w:b w:val="0"/>
                <w:sz w:val="16"/>
              </w:rPr>
              <w:t>Prioritätsdruck und Antwortfenster</w:t>
            </w:r>
          </w:p>
        </w:tc>
        <w:tc>
          <w:tcPr>
            <w:tcW w:type="dxa" w:w="2665"/>
            <w:vAlign w:val="top"/>
          </w:tcPr>
          <w:p>
            <w:r>
              <w:rPr>
                <w:rFonts w:ascii="Arial" w:hAnsi="Arial" w:eastAsia="Arial"/>
                <w:b w:val="0"/>
                <w:sz w:val="16"/>
              </w:rPr>
              <w:t>43 Ablehnungen dokumentiert</w:t>
            </w:r>
          </w:p>
        </w:tc>
        <w:tc>
          <w:tcPr>
            <w:tcW w:type="dxa" w:w="2381"/>
            <w:vAlign w:val="top"/>
          </w:tcPr>
          <w:p>
            <w:r>
              <w:rPr>
                <w:rFonts w:ascii="Arial" w:hAnsi="Arial" w:eastAsia="Arial"/>
                <w:b w:val="0"/>
                <w:sz w:val="16"/>
              </w:rPr>
              <w:t>Folgen niedrigen Rankings</w:t>
            </w:r>
          </w:p>
        </w:tc>
      </w:tr>
      <w:tr>
        <w:tc>
          <w:tcPr>
            <w:tcW w:type="dxa" w:w="1701"/>
            <w:vAlign w:val="top"/>
          </w:tcPr>
          <w:p>
            <w:r>
              <w:rPr>
                <w:rFonts w:ascii="Arial" w:hAnsi="Arial" w:eastAsia="Arial"/>
                <w:b w:val="0"/>
                <w:sz w:val="16"/>
              </w:rPr>
              <w:t>Zeit und Route</w:t>
            </w:r>
          </w:p>
        </w:tc>
        <w:tc>
          <w:tcPr>
            <w:tcW w:type="dxa" w:w="2268"/>
            <w:vAlign w:val="top"/>
          </w:tcPr>
          <w:p>
            <w:r>
              <w:rPr>
                <w:rFonts w:ascii="Arial" w:hAnsi="Arial" w:eastAsia="Arial"/>
                <w:b w:val="0"/>
                <w:sz w:val="16"/>
              </w:rPr>
              <w:t>Laborroute Nord</w:t>
            </w:r>
          </w:p>
        </w:tc>
        <w:tc>
          <w:tcPr>
            <w:tcW w:type="dxa" w:w="2665"/>
            <w:vAlign w:val="top"/>
          </w:tcPr>
          <w:p>
            <w:r>
              <w:rPr>
                <w:rFonts w:ascii="Arial" w:hAnsi="Arial" w:eastAsia="Arial"/>
                <w:b w:val="0"/>
                <w:sz w:val="16"/>
              </w:rPr>
              <w:t>wiederkehrende Montage und Donnerstage</w:t>
            </w:r>
          </w:p>
        </w:tc>
        <w:tc>
          <w:tcPr>
            <w:tcW w:type="dxa" w:w="2665"/>
            <w:vAlign w:val="top"/>
          </w:tcPr>
          <w:p>
            <w:r>
              <w:rPr>
                <w:rFonts w:ascii="Arial" w:hAnsi="Arial" w:eastAsia="Arial"/>
                <w:b w:val="0"/>
                <w:sz w:val="16"/>
              </w:rPr>
              <w:t>keine allgemeine Mindeststundenzahl</w:t>
            </w:r>
          </w:p>
        </w:tc>
        <w:tc>
          <w:tcPr>
            <w:tcW w:type="dxa" w:w="2381"/>
            <w:vAlign w:val="top"/>
          </w:tcPr>
          <w:p>
            <w:r>
              <w:rPr>
                <w:rFonts w:ascii="Arial" w:hAnsi="Arial" w:eastAsia="Arial"/>
                <w:b w:val="0"/>
                <w:sz w:val="16"/>
              </w:rPr>
              <w:t>vollständige Route ab 14.10.2025</w:t>
            </w:r>
          </w:p>
        </w:tc>
      </w:tr>
      <w:tr>
        <w:tc>
          <w:tcPr>
            <w:tcW w:type="dxa" w:w="1701"/>
            <w:vAlign w:val="top"/>
          </w:tcPr>
          <w:p>
            <w:r>
              <w:rPr>
                <w:rFonts w:ascii="Arial" w:hAnsi="Arial" w:eastAsia="Arial"/>
                <w:b w:val="0"/>
                <w:sz w:val="16"/>
              </w:rPr>
              <w:t>Betriebsmittel</w:t>
            </w:r>
          </w:p>
        </w:tc>
        <w:tc>
          <w:tcPr>
            <w:tcW w:type="dxa" w:w="2268"/>
            <w:vAlign w:val="top"/>
          </w:tcPr>
          <w:p>
            <w:r>
              <w:rPr>
                <w:rFonts w:ascii="Arial" w:hAnsi="Arial" w:eastAsia="Arial"/>
                <w:b w:val="0"/>
                <w:sz w:val="16"/>
              </w:rPr>
              <w:t>Fotos und Rechnungen</w:t>
            </w:r>
          </w:p>
        </w:tc>
        <w:tc>
          <w:tcPr>
            <w:tcW w:type="dxa" w:w="2665"/>
            <w:vAlign w:val="top"/>
          </w:tcPr>
          <w:p>
            <w:r>
              <w:rPr>
                <w:rFonts w:ascii="Arial" w:hAnsi="Arial" w:eastAsia="Arial"/>
                <w:b w:val="0"/>
                <w:sz w:val="16"/>
              </w:rPr>
              <w:t>Thermobox mit Logo gestellt</w:t>
            </w:r>
          </w:p>
        </w:tc>
        <w:tc>
          <w:tcPr>
            <w:tcW w:type="dxa" w:w="2665"/>
            <w:vAlign w:val="top"/>
          </w:tcPr>
          <w:p>
            <w:r>
              <w:rPr>
                <w:rFonts w:ascii="Arial" w:hAnsi="Arial" w:eastAsia="Arial"/>
                <w:b w:val="0"/>
                <w:sz w:val="16"/>
              </w:rPr>
              <w:t>eigenes E-Bike und Telefon</w:t>
            </w:r>
          </w:p>
        </w:tc>
        <w:tc>
          <w:tcPr>
            <w:tcW w:type="dxa" w:w="2381"/>
            <w:vAlign w:val="top"/>
          </w:tcPr>
          <w:p>
            <w:r>
              <w:rPr>
                <w:rFonts w:ascii="Arial" w:hAnsi="Arial" w:eastAsia="Arial"/>
                <w:b w:val="0"/>
                <w:sz w:val="16"/>
              </w:rPr>
              <w:t>Reparaturrechnungen</w:t>
            </w:r>
          </w:p>
        </w:tc>
      </w:tr>
      <w:tr>
        <w:tc>
          <w:tcPr>
            <w:tcW w:type="dxa" w:w="1701"/>
            <w:vAlign w:val="top"/>
          </w:tcPr>
          <w:p>
            <w:r>
              <w:rPr>
                <w:rFonts w:ascii="Arial" w:hAnsi="Arial" w:eastAsia="Arial"/>
                <w:b w:val="0"/>
                <w:sz w:val="16"/>
              </w:rPr>
              <w:t>Vertretung</w:t>
            </w:r>
          </w:p>
        </w:tc>
        <w:tc>
          <w:tcPr>
            <w:tcW w:type="dxa" w:w="2268"/>
            <w:vAlign w:val="top"/>
          </w:tcPr>
          <w:p>
            <w:r>
              <w:rPr>
                <w:rFonts w:ascii="Arial" w:hAnsi="Arial" w:eastAsia="Arial"/>
                <w:b w:val="0"/>
                <w:sz w:val="16"/>
              </w:rPr>
              <w:t>Chats 18.12., 09.01., 28.02.</w:t>
            </w:r>
          </w:p>
        </w:tc>
        <w:tc>
          <w:tcPr>
            <w:tcW w:type="dxa" w:w="2665"/>
            <w:vAlign w:val="top"/>
          </w:tcPr>
          <w:p>
            <w:r>
              <w:rPr>
                <w:rFonts w:ascii="Arial" w:hAnsi="Arial" w:eastAsia="Arial"/>
                <w:b w:val="0"/>
                <w:sz w:val="16"/>
              </w:rPr>
              <w:t>Benennung und Ausweiskontrolle</w:t>
            </w:r>
          </w:p>
        </w:tc>
        <w:tc>
          <w:tcPr>
            <w:tcW w:type="dxa" w:w="2665"/>
            <w:vAlign w:val="top"/>
          </w:tcPr>
          <w:p>
            <w:r>
              <w:rPr>
                <w:rFonts w:ascii="Arial" w:hAnsi="Arial" w:eastAsia="Arial"/>
                <w:b w:val="0"/>
                <w:sz w:val="16"/>
              </w:rPr>
              <w:t>drei tatsächliche Vertretungen</w:t>
            </w:r>
          </w:p>
        </w:tc>
        <w:tc>
          <w:tcPr>
            <w:tcW w:type="dxa" w:w="2381"/>
            <w:vAlign w:val="top"/>
          </w:tcPr>
          <w:p>
            <w:r>
              <w:rPr>
                <w:rFonts w:ascii="Arial" w:hAnsi="Arial" w:eastAsia="Arial"/>
                <w:b w:val="0"/>
                <w:sz w:val="16"/>
              </w:rPr>
              <w:t>Zahlung an Emre Yildiz</w:t>
            </w:r>
          </w:p>
        </w:tc>
      </w:tr>
      <w:tr>
        <w:tc>
          <w:tcPr>
            <w:tcW w:type="dxa" w:w="1701"/>
            <w:vAlign w:val="top"/>
          </w:tcPr>
          <w:p>
            <w:r>
              <w:rPr>
                <w:rFonts w:ascii="Arial" w:hAnsi="Arial" w:eastAsia="Arial"/>
                <w:b w:val="0"/>
                <w:sz w:val="16"/>
              </w:rPr>
              <w:t>Vergütung</w:t>
            </w:r>
          </w:p>
        </w:tc>
        <w:tc>
          <w:tcPr>
            <w:tcW w:type="dxa" w:w="2268"/>
            <w:vAlign w:val="top"/>
          </w:tcPr>
          <w:p>
            <w:r>
              <w:rPr>
                <w:rFonts w:ascii="Arial" w:hAnsi="Arial" w:eastAsia="Arial"/>
                <w:b w:val="0"/>
                <w:sz w:val="16"/>
              </w:rPr>
              <w:t>Gutschriften</w:t>
            </w:r>
          </w:p>
        </w:tc>
        <w:tc>
          <w:tcPr>
            <w:tcW w:type="dxa" w:w="2665"/>
            <w:vAlign w:val="top"/>
          </w:tcPr>
          <w:p>
            <w:r>
              <w:rPr>
                <w:rFonts w:ascii="Arial" w:hAnsi="Arial" w:eastAsia="Arial"/>
                <w:b w:val="0"/>
                <w:sz w:val="16"/>
              </w:rPr>
              <w:t>vorgegebene Tourensätze</w:t>
            </w:r>
          </w:p>
        </w:tc>
        <w:tc>
          <w:tcPr>
            <w:tcW w:type="dxa" w:w="2665"/>
            <w:vAlign w:val="top"/>
          </w:tcPr>
          <w:p>
            <w:r>
              <w:rPr>
                <w:rFonts w:ascii="Arial" w:hAnsi="Arial" w:eastAsia="Arial"/>
                <w:b w:val="0"/>
                <w:sz w:val="16"/>
              </w:rPr>
              <w:t>Touren- statt Stundenvergütung</w:t>
            </w:r>
          </w:p>
        </w:tc>
        <w:tc>
          <w:tcPr>
            <w:tcW w:type="dxa" w:w="2381"/>
            <w:vAlign w:val="top"/>
          </w:tcPr>
          <w:p>
            <w:r>
              <w:rPr>
                <w:rFonts w:ascii="Arial" w:hAnsi="Arial" w:eastAsia="Arial"/>
                <w:b w:val="0"/>
                <w:sz w:val="16"/>
              </w:rPr>
              <w:t>Ausfall- und Fehlfahrtrisiko</w:t>
            </w:r>
          </w:p>
        </w:tc>
      </w:tr>
      <w:tr>
        <w:tc>
          <w:tcPr>
            <w:tcW w:type="dxa" w:w="1701"/>
            <w:vAlign w:val="top"/>
          </w:tcPr>
          <w:p>
            <w:r>
              <w:rPr>
                <w:rFonts w:ascii="Arial" w:hAnsi="Arial" w:eastAsia="Arial"/>
                <w:b w:val="0"/>
                <w:sz w:val="16"/>
              </w:rPr>
              <w:t>Außenauftritt</w:t>
            </w:r>
          </w:p>
        </w:tc>
        <w:tc>
          <w:tcPr>
            <w:tcW w:type="dxa" w:w="2268"/>
            <w:vAlign w:val="top"/>
          </w:tcPr>
          <w:p>
            <w:r>
              <w:rPr>
                <w:rFonts w:ascii="Arial" w:hAnsi="Arial" w:eastAsia="Arial"/>
                <w:b w:val="0"/>
                <w:sz w:val="16"/>
              </w:rPr>
              <w:t>Gewerbeanmeldung</w:t>
            </w:r>
          </w:p>
        </w:tc>
        <w:tc>
          <w:tcPr>
            <w:tcW w:type="dxa" w:w="2665"/>
            <w:vAlign w:val="top"/>
          </w:tcPr>
          <w:p>
            <w:r>
              <w:rPr>
                <w:rFonts w:ascii="Arial" w:hAnsi="Arial" w:eastAsia="Arial"/>
                <w:b w:val="0"/>
                <w:sz w:val="16"/>
              </w:rPr>
              <w:t>kaum eigene Werbung</w:t>
            </w:r>
          </w:p>
        </w:tc>
        <w:tc>
          <w:tcPr>
            <w:tcW w:type="dxa" w:w="2665"/>
            <w:vAlign w:val="top"/>
          </w:tcPr>
          <w:p>
            <w:r>
              <w:rPr>
                <w:rFonts w:ascii="Arial" w:hAnsi="Arial" w:eastAsia="Arial"/>
                <w:b w:val="0"/>
                <w:sz w:val="16"/>
              </w:rPr>
              <w:t>weitere Auftraggeber 2025</w:t>
            </w:r>
          </w:p>
        </w:tc>
        <w:tc>
          <w:tcPr>
            <w:tcW w:type="dxa" w:w="2381"/>
            <w:vAlign w:val="top"/>
          </w:tcPr>
          <w:p>
            <w:r>
              <w:rPr>
                <w:rFonts w:ascii="Arial" w:hAnsi="Arial" w:eastAsia="Arial"/>
                <w:b w:val="0"/>
                <w:sz w:val="16"/>
              </w:rPr>
              <w:t>Rechnungen Labor Oberhausen</w:t>
            </w:r>
          </w:p>
        </w:tc>
      </w:tr>
      <w:tr>
        <w:tc>
          <w:tcPr>
            <w:tcW w:type="dxa" w:w="1701"/>
            <w:vAlign w:val="top"/>
          </w:tcPr>
          <w:p>
            <w:r>
              <w:rPr>
                <w:rFonts w:ascii="Arial" w:hAnsi="Arial" w:eastAsia="Arial"/>
                <w:b w:val="0"/>
                <w:sz w:val="16"/>
              </w:rPr>
              <w:t>Kontrolle</w:t>
            </w:r>
          </w:p>
        </w:tc>
        <w:tc>
          <w:tcPr>
            <w:tcW w:type="dxa" w:w="2268"/>
            <w:vAlign w:val="top"/>
          </w:tcPr>
          <w:p>
            <w:r>
              <w:rPr>
                <w:rFonts w:ascii="Arial" w:hAnsi="Arial" w:eastAsia="Arial"/>
                <w:b w:val="0"/>
                <w:sz w:val="16"/>
              </w:rPr>
              <w:t>Beschwerdeprotokolle</w:t>
            </w:r>
          </w:p>
        </w:tc>
        <w:tc>
          <w:tcPr>
            <w:tcW w:type="dxa" w:w="2665"/>
            <w:vAlign w:val="top"/>
          </w:tcPr>
          <w:p>
            <w:r>
              <w:rPr>
                <w:rFonts w:ascii="Arial" w:hAnsi="Arial" w:eastAsia="Arial"/>
                <w:b w:val="0"/>
                <w:sz w:val="16"/>
              </w:rPr>
              <w:t>zentrale Kundenkommunikation</w:t>
            </w:r>
          </w:p>
        </w:tc>
        <w:tc>
          <w:tcPr>
            <w:tcW w:type="dxa" w:w="2665"/>
            <w:vAlign w:val="top"/>
          </w:tcPr>
          <w:p>
            <w:r>
              <w:rPr>
                <w:rFonts w:ascii="Arial" w:hAnsi="Arial" w:eastAsia="Arial"/>
                <w:b w:val="0"/>
                <w:sz w:val="16"/>
              </w:rPr>
              <w:t>sachbezogene Hygienevorgaben</w:t>
            </w:r>
          </w:p>
        </w:tc>
        <w:tc>
          <w:tcPr>
            <w:tcW w:type="dxa" w:w="2381"/>
            <w:vAlign w:val="top"/>
          </w:tcPr>
          <w:p>
            <w:r>
              <w:rPr>
                <w:rFonts w:ascii="Arial" w:hAnsi="Arial" w:eastAsia="Arial"/>
                <w:b w:val="0"/>
                <w:sz w:val="16"/>
              </w:rPr>
              <w:t>konkrete Sanktionen</w:t>
            </w:r>
          </w:p>
        </w:tc>
      </w:tr>
    </w:tbl>
    <w:p/>
    <w:p>
      <w:pPr>
        <w:pStyle w:val="Heading1"/>
      </w:pPr>
      <w:r>
        <w:t>3. Vergleichsgruppen</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2324"/>
            <w:shd w:fill="E7EFF1"/>
            <w:vAlign w:val="center"/>
          </w:tcPr>
          <w:p>
            <w:r>
              <w:rPr>
                <w:rFonts w:ascii="Arial" w:hAnsi="Arial" w:eastAsia="Arial"/>
                <w:b/>
                <w:color w:val="173941"/>
                <w:sz w:val="17"/>
              </w:rPr>
              <w:t>Gruppe</w:t>
            </w:r>
          </w:p>
        </w:tc>
        <w:tc>
          <w:tcPr>
            <w:tcW w:type="dxa" w:w="2268"/>
            <w:shd w:fill="E7EFF1"/>
            <w:vAlign w:val="center"/>
          </w:tcPr>
          <w:p>
            <w:r>
              <w:rPr>
                <w:rFonts w:ascii="Arial" w:hAnsi="Arial" w:eastAsia="Arial"/>
                <w:b/>
                <w:color w:val="173941"/>
                <w:sz w:val="17"/>
              </w:rPr>
              <w:t>Personen</w:t>
            </w:r>
          </w:p>
        </w:tc>
        <w:tc>
          <w:tcPr>
            <w:tcW w:type="dxa" w:w="3061"/>
            <w:shd w:fill="E7EFF1"/>
            <w:vAlign w:val="center"/>
          </w:tcPr>
          <w:p>
            <w:r>
              <w:rPr>
                <w:rFonts w:ascii="Arial" w:hAnsi="Arial" w:eastAsia="Arial"/>
                <w:b/>
                <w:color w:val="173941"/>
                <w:sz w:val="17"/>
              </w:rPr>
              <w:t>Kennzeichen</w:t>
            </w:r>
          </w:p>
        </w:tc>
        <w:tc>
          <w:tcPr>
            <w:tcW w:type="dxa" w:w="3969"/>
            <w:shd w:fill="E7EFF1"/>
            <w:vAlign w:val="center"/>
          </w:tcPr>
          <w:p>
            <w:r>
              <w:rPr>
                <w:rFonts w:ascii="Arial" w:hAnsi="Arial" w:eastAsia="Arial"/>
                <w:b/>
                <w:color w:val="173941"/>
                <w:sz w:val="17"/>
              </w:rPr>
              <w:t>Belegbedarf</w:t>
            </w:r>
          </w:p>
        </w:tc>
      </w:tr>
      <w:tr>
        <w:tc>
          <w:tcPr>
            <w:tcW w:type="dxa" w:w="2324"/>
            <w:vAlign w:val="top"/>
          </w:tcPr>
          <w:p>
            <w:r>
              <w:rPr>
                <w:rFonts w:ascii="Arial" w:hAnsi="Arial" w:eastAsia="Arial"/>
                <w:b w:val="0"/>
                <w:sz w:val="16"/>
              </w:rPr>
              <w:t>Gelegenheitsfahrer</w:t>
            </w:r>
          </w:p>
        </w:tc>
        <w:tc>
          <w:tcPr>
            <w:tcW w:type="dxa" w:w="2268"/>
            <w:vAlign w:val="top"/>
          </w:tcPr>
          <w:p>
            <w:r>
              <w:rPr>
                <w:rFonts w:ascii="Arial" w:hAnsi="Arial" w:eastAsia="Arial"/>
                <w:b w:val="0"/>
                <w:sz w:val="16"/>
              </w:rPr>
              <w:t>Jana Rüther und vier weitere</w:t>
            </w:r>
          </w:p>
        </w:tc>
        <w:tc>
          <w:tcPr>
            <w:tcW w:type="dxa" w:w="3061"/>
            <w:vAlign w:val="top"/>
          </w:tcPr>
          <w:p>
            <w:r>
              <w:rPr>
                <w:rFonts w:ascii="Arial" w:hAnsi="Arial" w:eastAsia="Arial"/>
                <w:b w:val="0"/>
                <w:sz w:val="16"/>
              </w:rPr>
              <w:t>weniger als 20 Touren monatlich, anderweitige Haupttätigkeit</w:t>
            </w:r>
          </w:p>
        </w:tc>
        <w:tc>
          <w:tcPr>
            <w:tcW w:type="dxa" w:w="3969"/>
            <w:vAlign w:val="top"/>
          </w:tcPr>
          <w:p>
            <w:r>
              <w:rPr>
                <w:rFonts w:ascii="Arial" w:hAnsi="Arial" w:eastAsia="Arial"/>
                <w:b w:val="0"/>
                <w:sz w:val="16"/>
              </w:rPr>
              <w:t>Monatslisten und Arbeitsverträge Haupttätigkeit</w:t>
            </w:r>
          </w:p>
        </w:tc>
      </w:tr>
      <w:tr>
        <w:tc>
          <w:tcPr>
            <w:tcW w:type="dxa" w:w="2324"/>
            <w:vAlign w:val="top"/>
          </w:tcPr>
          <w:p>
            <w:r>
              <w:rPr>
                <w:rFonts w:ascii="Arial" w:hAnsi="Arial" w:eastAsia="Arial"/>
                <w:b w:val="0"/>
                <w:sz w:val="16"/>
              </w:rPr>
              <w:t>Mehr-Auftraggeber</w:t>
            </w:r>
          </w:p>
        </w:tc>
        <w:tc>
          <w:tcPr>
            <w:tcW w:type="dxa" w:w="2268"/>
            <w:vAlign w:val="top"/>
          </w:tcPr>
          <w:p>
            <w:r>
              <w:rPr>
                <w:rFonts w:ascii="Arial" w:hAnsi="Arial" w:eastAsia="Arial"/>
                <w:b w:val="0"/>
                <w:sz w:val="16"/>
              </w:rPr>
              <w:t>Pavel Kowalenko und drei weitere</w:t>
            </w:r>
          </w:p>
        </w:tc>
        <w:tc>
          <w:tcPr>
            <w:tcW w:type="dxa" w:w="3061"/>
            <w:vAlign w:val="top"/>
          </w:tcPr>
          <w:p>
            <w:r>
              <w:rPr>
                <w:rFonts w:ascii="Arial" w:hAnsi="Arial" w:eastAsia="Arial"/>
                <w:b w:val="0"/>
                <w:sz w:val="16"/>
              </w:rPr>
              <w:t>eigener Kundenstamm und eigene Werbung</w:t>
            </w:r>
          </w:p>
        </w:tc>
        <w:tc>
          <w:tcPr>
            <w:tcW w:type="dxa" w:w="3969"/>
            <w:vAlign w:val="top"/>
          </w:tcPr>
          <w:p>
            <w:r>
              <w:rPr>
                <w:rFonts w:ascii="Arial" w:hAnsi="Arial" w:eastAsia="Arial"/>
                <w:b w:val="0"/>
                <w:sz w:val="16"/>
              </w:rPr>
              <w:t>Rechnungen, Website, Betriebsmittel</w:t>
            </w:r>
          </w:p>
        </w:tc>
      </w:tr>
      <w:tr>
        <w:tc>
          <w:tcPr>
            <w:tcW w:type="dxa" w:w="2324"/>
            <w:vAlign w:val="top"/>
          </w:tcPr>
          <w:p>
            <w:r>
              <w:rPr>
                <w:rFonts w:ascii="Arial" w:hAnsi="Arial" w:eastAsia="Arial"/>
                <w:b w:val="0"/>
                <w:sz w:val="16"/>
              </w:rPr>
              <w:t>Verdichtete Plattformfahrer</w:t>
            </w:r>
          </w:p>
        </w:tc>
        <w:tc>
          <w:tcPr>
            <w:tcW w:type="dxa" w:w="2268"/>
            <w:vAlign w:val="top"/>
          </w:tcPr>
          <w:p>
            <w:r>
              <w:rPr>
                <w:rFonts w:ascii="Arial" w:hAnsi="Arial" w:eastAsia="Arial"/>
                <w:b w:val="0"/>
                <w:sz w:val="16"/>
              </w:rPr>
              <w:t>Selim Özkan und zwei weitere</w:t>
            </w:r>
          </w:p>
        </w:tc>
        <w:tc>
          <w:tcPr>
            <w:tcW w:type="dxa" w:w="3061"/>
            <w:vAlign w:val="top"/>
          </w:tcPr>
          <w:p>
            <w:r>
              <w:rPr>
                <w:rFonts w:ascii="Arial" w:hAnsi="Arial" w:eastAsia="Arial"/>
                <w:b w:val="0"/>
                <w:sz w:val="16"/>
              </w:rPr>
              <w:t>hohe Tourenzahl und feste Kundenschleifen</w:t>
            </w:r>
          </w:p>
        </w:tc>
        <w:tc>
          <w:tcPr>
            <w:tcW w:type="dxa" w:w="3969"/>
            <w:vAlign w:val="top"/>
          </w:tcPr>
          <w:p>
            <w:r>
              <w:rPr>
                <w:rFonts w:ascii="Arial" w:hAnsi="Arial" w:eastAsia="Arial"/>
                <w:b w:val="0"/>
                <w:sz w:val="16"/>
              </w:rPr>
              <w:t>App-Logs, Chats, Vertretung</w:t>
            </w:r>
          </w:p>
        </w:tc>
      </w:tr>
      <w:tr>
        <w:tc>
          <w:tcPr>
            <w:tcW w:type="dxa" w:w="2324"/>
            <w:vAlign w:val="top"/>
          </w:tcPr>
          <w:p>
            <w:r>
              <w:rPr>
                <w:rFonts w:ascii="Arial" w:hAnsi="Arial" w:eastAsia="Arial"/>
                <w:b w:val="0"/>
                <w:sz w:val="16"/>
              </w:rPr>
              <w:t>später Angestellte</w:t>
            </w:r>
          </w:p>
        </w:tc>
        <w:tc>
          <w:tcPr>
            <w:tcW w:type="dxa" w:w="2268"/>
            <w:vAlign w:val="top"/>
          </w:tcPr>
          <w:p>
            <w:r>
              <w:rPr>
                <w:rFonts w:ascii="Arial" w:hAnsi="Arial" w:eastAsia="Arial"/>
                <w:b w:val="0"/>
                <w:sz w:val="16"/>
              </w:rPr>
              <w:t>drei Fahrer</w:t>
            </w:r>
          </w:p>
        </w:tc>
        <w:tc>
          <w:tcPr>
            <w:tcW w:type="dxa" w:w="3061"/>
            <w:vAlign w:val="top"/>
          </w:tcPr>
          <w:p>
            <w:r>
              <w:rPr>
                <w:rFonts w:ascii="Arial" w:hAnsi="Arial" w:eastAsia="Arial"/>
                <w:b w:val="0"/>
                <w:sz w:val="16"/>
              </w:rPr>
              <w:t>Statuswechsel mit geändertem Einsatz</w:t>
            </w:r>
          </w:p>
        </w:tc>
        <w:tc>
          <w:tcPr>
            <w:tcW w:type="dxa" w:w="3969"/>
            <w:vAlign w:val="top"/>
          </w:tcPr>
          <w:p>
            <w:r>
              <w:rPr>
                <w:rFonts w:ascii="Arial" w:hAnsi="Arial" w:eastAsia="Arial"/>
                <w:b w:val="0"/>
                <w:sz w:val="16"/>
              </w:rPr>
              <w:t>Vorher-nachher-Vergleich</w:t>
            </w:r>
          </w:p>
        </w:tc>
      </w:tr>
    </w:tbl>
    <w:p/>
    <w:p>
      <w:pPr>
        <w:pStyle w:val="Heading1"/>
      </w:pPr>
      <w:r>
        <w:t>4. Zeugenzuordnung</w:t>
      </w:r>
    </w:p>
    <w:p>
      <w:pPr>
        <w:jc w:val="both"/>
      </w:pPr>
      <w:r>
        <w:rPr>
          <w:rFonts w:ascii="Arial" w:hAnsi="Arial" w:eastAsia="Arial"/>
          <w:b w:val="0"/>
          <w:sz w:val="21"/>
        </w:rPr>
        <w:t>Disponentin Nadine Kranz kann zu Tourenvergabe und Ranking aussagen. Selim Özkan und Emre Yildiz sind zu tatsächlicher Ablehnung, Vertretung und Vergütung zu befragen. Kundenbeschwerden dürfen nur mit Datum, Tour und Reaktion verwendet werden. Allgemeine Wertungen wie zuverlässig oder frei ersetzen keine Tatsachen.</w:t>
      </w:r>
    </w:p>
    <w:p>
      <w:pPr>
        <w:pStyle w:val="Heading1"/>
      </w:pPr>
      <w:r>
        <w:t>5. Arbeitsregel</w:t>
      </w:r>
    </w:p>
    <w:p>
      <w:pPr>
        <w:jc w:val="both"/>
      </w:pPr>
      <w:r>
        <w:rPr>
          <w:rFonts w:ascii="Arial" w:hAnsi="Arial" w:eastAsia="Arial"/>
          <w:b w:val="0"/>
          <w:sz w:val="21"/>
        </w:rPr>
        <w:t>Für jede Person entsteht ein eigenes Monatsblatt. Tatsachen werden nur übernommen, wenn Vertrag, Systemexport, Nachricht, Abrechnung oder benannte Auskunftsperson zugeordnet sind. Die Beitragsrechnung wird erst nach der Status- und Zeitraumsmatrix geprüft.</w:t>
      </w:r>
    </w:p>
    <w:p>
      <w:pPr>
        <w:spacing w:before="280"/>
      </w:pPr>
      <w:r>
        <w:rPr>
          <w:rFonts w:ascii="Arial" w:hAnsi="Arial" w:eastAsia="Arial"/>
          <w:b/>
          <w:sz w:val="21"/>
        </w:rPr>
        <w:t>Jan Kappes</w:t>
      </w:r>
    </w:p>
    <w:p>
      <w:pPr>
        <w:spacing w:after="0"/>
      </w:pPr>
      <w:r>
        <w:rPr>
          <w:rFonts w:ascii="Arial" w:hAnsi="Arial" w:eastAsia="Arial"/>
          <w:b w:val="0"/>
          <w:color w:val="5C6569"/>
          <w:sz w:val="18"/>
        </w:rPr>
        <w:t>Rentenberater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26-STA-088 · RuhrKurier GmbH</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Jan Kappes</w:t>
    </w:r>
  </w:p>
  <w:p>
    <w:pPr>
      <w:spacing w:after="0"/>
    </w:pPr>
    <w:r>
      <w:rPr>
        <w:rFonts w:ascii="Arial" w:hAnsi="Arial" w:eastAsia="Arial"/>
        <w:b w:val="0"/>
        <w:color w:val="5C6569"/>
        <w:sz w:val="14"/>
      </w:rPr>
      <w:t>Rüttenscheider Straße 112 · 45131 Essen</w:t>
    </w:r>
  </w:p>
  <w:p>
    <w:pPr>
      <w:spacing w:after="0"/>
    </w:pPr>
    <w:r>
      <w:rPr>
        <w:rFonts w:ascii="Arial" w:hAnsi="Arial" w:eastAsia="Arial"/>
        <w:b w:val="0"/>
        <w:color w:val="5C6569"/>
        <w:sz w:val="14"/>
      </w:rPr>
      <w:t>Telefon 0201 87931-0 · Telefax 0201 87931-19 · post@rentenberatung-kappes.de</w:t>
    </w:r>
  </w:p>
  <w:p>
    <w:pPr>
      <w:spacing w:after="0"/>
    </w:pPr>
    <w:r>
      <w:rPr>
        <w:rFonts w:ascii="Arial" w:hAnsi="Arial" w:eastAsia="Arial"/>
        <w:b w:val="0"/>
        <w:color w:val="5C6569"/>
        <w:sz w:val="14"/>
      </w:rPr>
      <w:t>Rentenberater Jan Kappes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Statusprüfung Selim Özkan und Fallgruppen der Kurierfahrer</dc:title>
  <dc:subject>26-STA-088 / jk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