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BESPRECHUNGSVERMERK</w:t>
      </w:r>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2. Juli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26-RB-118 / kj</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Kai Jessen</w:t>
            </w:r>
          </w:p>
        </w:tc>
      </w:tr>
    </w:tbl>
    <w:p/>
    <w:p>
      <w:pPr>
        <w:pStyle w:val="Title"/>
      </w:pPr>
      <w:r>
        <w:rPr>
          <w:rFonts w:ascii="Arial" w:hAnsi="Arial" w:eastAsia="Arial"/>
          <w:b/>
          <w:color w:val="173941"/>
          <w:sz w:val="34"/>
        </w:rPr>
        <w:t>Erstberatung Brigitte Lampe zur Pensionskassenkürzung</w:t>
      </w:r>
    </w:p>
    <w:p>
      <w:pPr>
        <w:pStyle w:val="Heading1"/>
      </w:pPr>
      <w:r>
        <w:t>1. Termin und Teilnehmer</w:t>
      </w:r>
    </w:p>
    <w:p>
      <w:pPr>
        <w:jc w:val="both"/>
      </w:pPr>
      <w:r>
        <w:rPr>
          <w:rFonts w:ascii="Arial" w:hAnsi="Arial" w:eastAsia="Arial"/>
          <w:b w:val="0"/>
          <w:sz w:val="21"/>
        </w:rPr>
        <w:t>Besprechung am 2. Juli 2026 von 09:35 Uhr bis 11:08 Uhr im Besprechungszimmer 2. Teilnehmer: Brigitte Lampe, Rentenberater Kai Jessen und Rechtsanwaltsfachangestellte Merve Özdemir für die Dokumentenaufnahme. Frau Lampe legte einen grünen Schnellhefter, drei Rentenmitteilungen, das Arbeitgeberangebot und zwei ältere E-Mail-Ausdrucke vor.</w:t>
      </w:r>
    </w:p>
    <w:p>
      <w:pPr>
        <w:pStyle w:val="Heading1"/>
      </w:pPr>
      <w:r>
        <w:t>2. Angaben der Mandantin</w:t>
      </w:r>
    </w:p>
    <w:p>
      <w:pPr>
        <w:jc w:val="both"/>
      </w:pPr>
      <w:r>
        <w:rPr>
          <w:rFonts w:ascii="Arial" w:hAnsi="Arial" w:eastAsia="Arial"/>
          <w:b w:val="0"/>
          <w:sz w:val="21"/>
        </w:rPr>
        <w:t>Frau Lampe war vom 1. April 1989 bis zum 31. März 2020 bei der Rhein-Main Drucktechnik AG beschäftigt, zuletzt als Leiterin der Druckvorstufe. Seit April 2020 bezieht sie gesetzliche Altersrente und Betriebsrente. Sie erinnert sich an eine Betriebsversammlung im Frühjahr 1999, bei der der damalige Personalleiter erklärt habe, die Arbeitgeberzusage bleibe auch bei Schwierigkeiten der Pensionskasse bestehen.</w:t>
      </w:r>
    </w:p>
    <w:p>
      <w:pPr>
        <w:jc w:val="both"/>
      </w:pPr>
      <w:r>
        <w:rPr>
          <w:rFonts w:ascii="Arial" w:hAnsi="Arial" w:eastAsia="Arial"/>
          <w:b w:val="0"/>
          <w:sz w:val="21"/>
        </w:rPr>
        <w:t>Im November 2021 fragte Frau Lampe per E-Mail nach, ob die damals diskutierte Absenkung des Rechnungszinses ihre laufende Rente betreffe. Eine Mitarbeiterin des Personalservice antwortete am 18. November 2021, für laufende Renten bestehe nach derzeitiger Einschätzung kein Kürzungsrisiko. Der Ausdruck enthält nur die letzte Nachricht; der vollständige Verlauf soll auf einem alten Laptop liegen.</w:t>
      </w:r>
    </w:p>
    <w:p>
      <w:pPr>
        <w:pStyle w:val="Heading1"/>
      </w:pPr>
      <w:r>
        <w:t>3. Wirtschaftliche Lage</w:t>
      </w:r>
    </w:p>
    <w:p>
      <w:pPr>
        <w:jc w:val="both"/>
      </w:pPr>
      <w:r>
        <w:rPr>
          <w:rFonts w:ascii="Arial" w:hAnsi="Arial" w:eastAsia="Arial"/>
          <w:b w:val="0"/>
          <w:sz w:val="21"/>
        </w:rPr>
        <w:t>Die Differenz von 40,90 EUR monatlich erscheint Frau Lampe zunächst überschaubar, wirkt sich aber auf ihr enges Monatsbudget aus. Ihre gesetzliche Nettorente beträgt nach eigener Angabe 1568,22 EUR; Warmmiete 842,00 EUR, private Zusatzversicherung 86,40 EUR und regelmäßige Medikamentenzuzahlungen etwa 37,00 EUR. Eine einmalige Zahlung von 720,00 EUR würde die dauerhafte Kürzung nicht ausgleichen.</w:t>
      </w:r>
    </w:p>
    <w:p>
      <w:pPr>
        <w:pStyle w:val="Heading1"/>
      </w:pPr>
      <w:r>
        <w:t>4. Unterlagenstand</w:t>
      </w:r>
    </w:p>
    <w:tbl>
      <w:tblPr>
        <w:tblStyle w:val="TableGrid"/>
        <w:tblW w:type="auto" w:w="0"/>
        <w:jc w:val="center"/>
        <w:tblLayout w:type="fixed"/>
        <w:tblLook w:firstColumn="1" w:firstRow="1" w:lastColumn="0" w:lastRow="0" w:noHBand="0" w:noVBand="1" w:val="04A0"/>
      </w:tblPr>
      <w:tblGrid>
        <w:gridCol w:w="3147"/>
        <w:gridCol w:w="3147"/>
        <w:gridCol w:w="3147"/>
      </w:tblGrid>
      <w:tr>
        <w:trPr>
          <w:tblHeader w:val="true"/>
        </w:trPr>
        <w:tc>
          <w:tcPr>
            <w:tcW w:type="dxa" w:w="2891"/>
            <w:shd w:fill="E7EFF1"/>
            <w:vAlign w:val="center"/>
          </w:tcPr>
          <w:p>
            <w:r>
              <w:rPr>
                <w:rFonts w:ascii="Arial" w:hAnsi="Arial" w:eastAsia="Arial"/>
                <w:b/>
                <w:color w:val="173941"/>
                <w:sz w:val="17"/>
              </w:rPr>
              <w:t>Unterlage</w:t>
            </w:r>
          </w:p>
        </w:tc>
        <w:tc>
          <w:tcPr>
            <w:tcW w:type="dxa" w:w="1757"/>
            <w:shd w:fill="E7EFF1"/>
            <w:vAlign w:val="center"/>
          </w:tcPr>
          <w:p>
            <w:r>
              <w:rPr>
                <w:rFonts w:ascii="Arial" w:hAnsi="Arial" w:eastAsia="Arial"/>
                <w:b/>
                <w:color w:val="173941"/>
                <w:sz w:val="17"/>
              </w:rPr>
              <w:t>Stand</w:t>
            </w:r>
          </w:p>
        </w:tc>
        <w:tc>
          <w:tcPr>
            <w:tcW w:type="dxa" w:w="4762"/>
            <w:shd w:fill="E7EFF1"/>
            <w:vAlign w:val="center"/>
          </w:tcPr>
          <w:p>
            <w:r>
              <w:rPr>
                <w:rFonts w:ascii="Arial" w:hAnsi="Arial" w:eastAsia="Arial"/>
                <w:b/>
                <w:color w:val="173941"/>
                <w:sz w:val="17"/>
              </w:rPr>
              <w:t>Fundstelle oder nächste Handlung</w:t>
            </w:r>
          </w:p>
        </w:tc>
      </w:tr>
      <w:tr>
        <w:tc>
          <w:tcPr>
            <w:tcW w:type="dxa" w:w="2891"/>
            <w:vAlign w:val="top"/>
          </w:tcPr>
          <w:p>
            <w:r>
              <w:rPr>
                <w:rFonts w:ascii="Arial" w:hAnsi="Arial" w:eastAsia="Arial"/>
                <w:b w:val="0"/>
                <w:sz w:val="16"/>
              </w:rPr>
              <w:t>Versorgungsordnung 1998</w:t>
            </w:r>
          </w:p>
        </w:tc>
        <w:tc>
          <w:tcPr>
            <w:tcW w:type="dxa" w:w="1757"/>
            <w:vAlign w:val="top"/>
          </w:tcPr>
          <w:p>
            <w:r>
              <w:rPr>
                <w:rFonts w:ascii="Arial" w:hAnsi="Arial" w:eastAsia="Arial"/>
                <w:b w:val="0"/>
                <w:sz w:val="16"/>
              </w:rPr>
              <w:t>Kopie mit Seite 1 bis 9</w:t>
            </w:r>
          </w:p>
        </w:tc>
        <w:tc>
          <w:tcPr>
            <w:tcW w:type="dxa" w:w="4762"/>
            <w:vAlign w:val="top"/>
          </w:tcPr>
          <w:p>
            <w:r>
              <w:rPr>
                <w:rFonts w:ascii="Arial" w:hAnsi="Arial" w:eastAsia="Arial"/>
                <w:b w:val="0"/>
                <w:sz w:val="16"/>
              </w:rPr>
              <w:t>Originalfassung und Betriebsvereinbarung beim Arbeitgeber anfordern</w:t>
            </w:r>
          </w:p>
        </w:tc>
      </w:tr>
      <w:tr>
        <w:tc>
          <w:tcPr>
            <w:tcW w:type="dxa" w:w="2891"/>
            <w:vAlign w:val="top"/>
          </w:tcPr>
          <w:p>
            <w:r>
              <w:rPr>
                <w:rFonts w:ascii="Arial" w:hAnsi="Arial" w:eastAsia="Arial"/>
                <w:b w:val="0"/>
                <w:sz w:val="16"/>
              </w:rPr>
              <w:t>Leistungsmitteilungen 2022 bis 2026</w:t>
            </w:r>
          </w:p>
        </w:tc>
        <w:tc>
          <w:tcPr>
            <w:tcW w:type="dxa" w:w="1757"/>
            <w:vAlign w:val="top"/>
          </w:tcPr>
          <w:p>
            <w:r>
              <w:rPr>
                <w:rFonts w:ascii="Arial" w:hAnsi="Arial" w:eastAsia="Arial"/>
                <w:b w:val="0"/>
                <w:sz w:val="16"/>
              </w:rPr>
              <w:t>2025 und 2026 vorhanden</w:t>
            </w:r>
          </w:p>
        </w:tc>
        <w:tc>
          <w:tcPr>
            <w:tcW w:type="dxa" w:w="4762"/>
            <w:vAlign w:val="top"/>
          </w:tcPr>
          <w:p>
            <w:r>
              <w:rPr>
                <w:rFonts w:ascii="Arial" w:hAnsi="Arial" w:eastAsia="Arial"/>
                <w:b w:val="0"/>
                <w:sz w:val="16"/>
              </w:rPr>
              <w:t>Kasse um vollständigen Rentenverlauf bitten</w:t>
            </w:r>
          </w:p>
        </w:tc>
      </w:tr>
      <w:tr>
        <w:tc>
          <w:tcPr>
            <w:tcW w:type="dxa" w:w="2891"/>
            <w:vAlign w:val="top"/>
          </w:tcPr>
          <w:p>
            <w:r>
              <w:rPr>
                <w:rFonts w:ascii="Arial" w:hAnsi="Arial" w:eastAsia="Arial"/>
                <w:b w:val="0"/>
                <w:sz w:val="16"/>
              </w:rPr>
              <w:t>Sanierungsbeschluss</w:t>
            </w:r>
          </w:p>
        </w:tc>
        <w:tc>
          <w:tcPr>
            <w:tcW w:type="dxa" w:w="1757"/>
            <w:vAlign w:val="top"/>
          </w:tcPr>
          <w:p>
            <w:r>
              <w:rPr>
                <w:rFonts w:ascii="Arial" w:hAnsi="Arial" w:eastAsia="Arial"/>
                <w:b w:val="0"/>
                <w:sz w:val="16"/>
              </w:rPr>
              <w:t>nur Kurzmitteilung</w:t>
            </w:r>
          </w:p>
        </w:tc>
        <w:tc>
          <w:tcPr>
            <w:tcW w:type="dxa" w:w="4762"/>
            <w:vAlign w:val="top"/>
          </w:tcPr>
          <w:p>
            <w:r>
              <w:rPr>
                <w:rFonts w:ascii="Arial" w:hAnsi="Arial" w:eastAsia="Arial"/>
                <w:b w:val="0"/>
                <w:sz w:val="16"/>
              </w:rPr>
              <w:t>satzungsmäßige Grundlage und Genehmigungsumfang klären</w:t>
            </w:r>
          </w:p>
        </w:tc>
      </w:tr>
      <w:tr>
        <w:tc>
          <w:tcPr>
            <w:tcW w:type="dxa" w:w="2891"/>
            <w:vAlign w:val="top"/>
          </w:tcPr>
          <w:p>
            <w:r>
              <w:rPr>
                <w:rFonts w:ascii="Arial" w:hAnsi="Arial" w:eastAsia="Arial"/>
                <w:b w:val="0"/>
                <w:sz w:val="16"/>
              </w:rPr>
              <w:t>Arbeitgeberangebot</w:t>
            </w:r>
          </w:p>
        </w:tc>
        <w:tc>
          <w:tcPr>
            <w:tcW w:type="dxa" w:w="1757"/>
            <w:vAlign w:val="top"/>
          </w:tcPr>
          <w:p>
            <w:r>
              <w:rPr>
                <w:rFonts w:ascii="Arial" w:hAnsi="Arial" w:eastAsia="Arial"/>
                <w:b w:val="0"/>
                <w:sz w:val="16"/>
              </w:rPr>
              <w:t>Original vorhanden</w:t>
            </w:r>
          </w:p>
        </w:tc>
        <w:tc>
          <w:tcPr>
            <w:tcW w:type="dxa" w:w="4762"/>
            <w:vAlign w:val="top"/>
          </w:tcPr>
          <w:p>
            <w:r>
              <w:rPr>
                <w:rFonts w:ascii="Arial" w:hAnsi="Arial" w:eastAsia="Arial"/>
                <w:b w:val="0"/>
                <w:sz w:val="16"/>
              </w:rPr>
              <w:t>keine Unterschrift vor Ablauf der Prüfung</w:t>
            </w:r>
          </w:p>
        </w:tc>
      </w:tr>
      <w:tr>
        <w:tc>
          <w:tcPr>
            <w:tcW w:type="dxa" w:w="2891"/>
            <w:vAlign w:val="top"/>
          </w:tcPr>
          <w:p>
            <w:r>
              <w:rPr>
                <w:rFonts w:ascii="Arial" w:hAnsi="Arial" w:eastAsia="Arial"/>
                <w:b w:val="0"/>
                <w:sz w:val="16"/>
              </w:rPr>
              <w:t>E-Mail 2021</w:t>
            </w:r>
          </w:p>
        </w:tc>
        <w:tc>
          <w:tcPr>
            <w:tcW w:type="dxa" w:w="1757"/>
            <w:vAlign w:val="top"/>
          </w:tcPr>
          <w:p>
            <w:r>
              <w:rPr>
                <w:rFonts w:ascii="Arial" w:hAnsi="Arial" w:eastAsia="Arial"/>
                <w:b w:val="0"/>
                <w:sz w:val="16"/>
              </w:rPr>
              <w:t>letzte Nachricht vorhanden</w:t>
            </w:r>
          </w:p>
        </w:tc>
        <w:tc>
          <w:tcPr>
            <w:tcW w:type="dxa" w:w="4762"/>
            <w:vAlign w:val="top"/>
          </w:tcPr>
          <w:p>
            <w:r>
              <w:rPr>
                <w:rFonts w:ascii="Arial" w:hAnsi="Arial" w:eastAsia="Arial"/>
                <w:b w:val="0"/>
                <w:sz w:val="16"/>
              </w:rPr>
              <w:t>alten Laptop am 4. Juli mit Tochter durchsuchen</w:t>
            </w:r>
          </w:p>
        </w:tc>
      </w:tr>
    </w:tbl>
    <w:p/>
    <w:p>
      <w:pPr>
        <w:pStyle w:val="Heading1"/>
      </w:pPr>
      <w:r>
        <w:t>5. Auftrag und Kommunikation</w:t>
      </w:r>
    </w:p>
    <w:p>
      <w:pPr>
        <w:jc w:val="both"/>
      </w:pPr>
      <w:r>
        <w:rPr>
          <w:rFonts w:ascii="Arial" w:hAnsi="Arial" w:eastAsia="Arial"/>
          <w:b w:val="0"/>
          <w:sz w:val="21"/>
        </w:rPr>
        <w:t>Frau Lampe beauftragt zunächst die außergerichtliche Prüfung und ein Auskunftsschreiben an Arbeitgeber und Pensionskasse. Eine Klage soll erst nach Kostenschätzung, Rechtswegprüfung und Rücksprache erhoben werden. Sie ist telefonisch montags und donnerstags zwischen 14:00 Uhr und 17:00 Uhr erreichbar. Nachrichten dürfen auch an ihre Tochter Clara Lampe in Kopie gehen, wenn es ausschließlich um Termine oder fehlende Unterlagen geht.</w:t>
      </w:r>
    </w:p>
    <w:p>
      <w:pPr>
        <w:spacing w:before="280"/>
      </w:pPr>
      <w:r>
        <w:rPr>
          <w:rFonts w:ascii="Arial" w:hAnsi="Arial" w:eastAsia="Arial"/>
          <w:b/>
          <w:sz w:val="21"/>
        </w:rPr>
        <w:t>Kai Jessen</w:t>
      </w:r>
    </w:p>
    <w:p>
      <w:pPr>
        <w:spacing w:after="0"/>
      </w:pPr>
      <w:r>
        <w:rPr>
          <w:rFonts w:ascii="Arial" w:hAnsi="Arial" w:eastAsia="Arial"/>
          <w:b w:val="0"/>
          <w:color w:val="5C6569"/>
          <w:sz w:val="18"/>
        </w:rPr>
        <w:t>Rentenberater</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Mandat 26-RB-118 · Lampe / Betriebsrente</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Rentenberatung Jessen &amp; Kollegium</w:t>
    </w:r>
  </w:p>
  <w:p>
    <w:pPr>
      <w:spacing w:after="0"/>
    </w:pPr>
    <w:r>
      <w:rPr>
        <w:rFonts w:ascii="Arial" w:hAnsi="Arial" w:eastAsia="Arial"/>
        <w:b w:val="0"/>
        <w:color w:val="5C6569"/>
        <w:sz w:val="14"/>
      </w:rPr>
      <w:t>Rheinstraße 36 · 65185 Wiesbaden</w:t>
    </w:r>
  </w:p>
  <w:p>
    <w:pPr>
      <w:spacing w:after="0"/>
    </w:pPr>
    <w:r>
      <w:rPr>
        <w:rFonts w:ascii="Arial" w:hAnsi="Arial" w:eastAsia="Arial"/>
        <w:b w:val="0"/>
        <w:color w:val="5C6569"/>
        <w:sz w:val="14"/>
      </w:rPr>
      <w:t>Telefon 0611 33682-0 · Telefax 0611 33682-19 · post@jessen-rentenberatung.de</w:t>
    </w:r>
  </w:p>
  <w:p>
    <w:pPr>
      <w:spacing w:after="0"/>
    </w:pPr>
    <w:r>
      <w:rPr>
        <w:rFonts w:ascii="Arial" w:hAnsi="Arial" w:eastAsia="Arial"/>
        <w:b w:val="0"/>
        <w:color w:val="5C6569"/>
        <w:sz w:val="14"/>
      </w:rPr>
      <w:t>Rentenberater Kai Jessen · Registriert im Rechtsdienstleistungsregister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Erstberatung Brigitte Lampe zur Pensionskassenkürzung</dc:title>
  <dc:subject>26-RB-118 / kj</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