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INTERNE BILANZNOTIZ</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14. Februar 2025</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JA 2024-17 / Pensionskasse</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Mehmet Aydin</w:t>
            </w:r>
          </w:p>
        </w:tc>
      </w:tr>
    </w:tbl>
    <w:p/>
    <w:p>
      <w:pPr>
        <w:pStyle w:val="Title"/>
      </w:pPr>
      <w:r>
        <w:rPr>
          <w:rFonts w:ascii="Arial" w:hAnsi="Arial" w:eastAsia="Arial"/>
          <w:b/>
          <w:color w:val="173941"/>
          <w:sz w:val="34"/>
        </w:rPr>
        <w:t>Mittelbare Versorgungsverpflichtungen und mögliche Kassenmaßnahmen</w:t>
      </w:r>
    </w:p>
    <w:p>
      <w:pPr>
        <w:pStyle w:val="Heading1"/>
      </w:pPr>
      <w:r>
        <w:t>1. Anlass</w:t>
      </w:r>
    </w:p>
    <w:p>
      <w:pPr>
        <w:jc w:val="both"/>
      </w:pPr>
      <w:r>
        <w:rPr>
          <w:rFonts w:ascii="Arial" w:hAnsi="Arial" w:eastAsia="Arial"/>
          <w:b w:val="0"/>
          <w:sz w:val="21"/>
        </w:rPr>
        <w:t>Im Rahmen der Jahresabschlussarbeiten 2024 bat die Wirtschaftsprüfung um Erläuterung, ob aus den anhaltenden Belastungen der Rhein-Main Pensionskasse VVaG zusätzliche Verpflichtungen für das Unternehmen entstehen können. Die Notiz dokumentiert den damaligen Informationsstand; sie enthält keine abschließende Rückstellungsentscheidung.</w:t>
      </w:r>
    </w:p>
    <w:p>
      <w:pPr>
        <w:pStyle w:val="Heading1"/>
      </w:pPr>
      <w:r>
        <w:t>2. Bestand</w:t>
      </w:r>
    </w:p>
    <w:p>
      <w:pPr>
        <w:jc w:val="both"/>
      </w:pPr>
      <w:r>
        <w:rPr>
          <w:rFonts w:ascii="Arial" w:hAnsi="Arial" w:eastAsia="Arial"/>
          <w:b w:val="0"/>
          <w:sz w:val="21"/>
        </w:rPr>
        <w:t>Zum 31. Dezember 2024 werden 418 aktive Anwärter, 296 ausgeschiedene Anwärter und 371 laufende Renten über die Pensionskasse geführt. Die vom Arbeitgeber gemeldete Jahressumme laufender Kassenrenten beträgt 2,184 Mio. EUR. Für die Zusagegruppe der Versorgungsordnung 1998 liegen der Personalabteilung keine vollständigen individuellen Differenzberechnungen vor.</w:t>
      </w:r>
    </w:p>
    <w:p>
      <w:pPr>
        <w:pStyle w:val="Heading1"/>
      </w:pPr>
      <w:r>
        <w:t>3. Kommunikation der Kasse</w:t>
      </w:r>
    </w:p>
    <w:p>
      <w:pPr>
        <w:jc w:val="both"/>
      </w:pPr>
      <w:r>
        <w:rPr>
          <w:rFonts w:ascii="Arial" w:hAnsi="Arial" w:eastAsia="Arial"/>
          <w:b w:val="0"/>
          <w:sz w:val="21"/>
        </w:rPr>
        <w:t>Die Pensionskasse wies im Schreiben vom 6. Dezember 2024 auf eine Unterdeckung im Tarif RM-Alt hin und kündigte eine Prüfung des Rentenfaktors an. Eine konkrete Kürzung, ein Wirksamkeitsdatum oder eine belastbare Spanne wurden nicht genannt. Der Finanzbereich setzte deshalb zunächst keine Einzelfallzahlung an.</w:t>
      </w:r>
    </w:p>
    <w:p>
      <w:pPr>
        <w:pStyle w:val="Heading1"/>
      </w:pPr>
      <w:r>
        <w:t>4. Offene Abstimmung</w:t>
      </w:r>
    </w:p>
    <w:p>
      <w:pPr>
        <w:jc w:val="both"/>
      </w:pPr>
      <w:r>
        <w:rPr>
          <w:rFonts w:ascii="Arial" w:hAnsi="Arial" w:eastAsia="Arial"/>
          <w:b w:val="0"/>
          <w:sz w:val="21"/>
        </w:rPr>
        <w:t>Benötigt werden die versicherungsmathematische Bestandsauswertung, die Zuordnung der Versorgungsordnungen, eine arbeitsrechtliche Bewertung der Einstandspflicht und die Entscheidung, ob Versorgungsempfänger vorsorglich informiert werden. Der Vorgang wurde am 17. Februar 2025 an Personal, Recht und Treasury verteilt. Eine Antwort des Rechtsbereichs ist in der vorliegenden Kopie nicht abgelegt.</w:t>
      </w:r>
    </w:p>
    <w:p>
      <w:pPr>
        <w:spacing w:before="280"/>
      </w:pPr>
      <w:r>
        <w:rPr>
          <w:rFonts w:ascii="Arial" w:hAnsi="Arial" w:eastAsia="Arial"/>
          <w:b/>
          <w:sz w:val="21"/>
        </w:rPr>
        <w:t>Mehmet Aydin</w:t>
      </w:r>
    </w:p>
    <w:p>
      <w:pPr>
        <w:spacing w:after="0"/>
      </w:pPr>
      <w:r>
        <w:rPr>
          <w:rFonts w:ascii="Arial" w:hAnsi="Arial" w:eastAsia="Arial"/>
          <w:b w:val="0"/>
          <w:color w:val="5C6569"/>
          <w:sz w:val="18"/>
        </w:rPr>
        <w:t>Leiter Rechnungswesen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Finanzbereich · Arbeitspapier JA 2024-17</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Rhein-Main Drucktechnik Aktiengesellschaft</w:t>
    </w:r>
  </w:p>
  <w:p>
    <w:pPr>
      <w:spacing w:after="0"/>
    </w:pPr>
    <w:r>
      <w:rPr>
        <w:rFonts w:ascii="Arial" w:hAnsi="Arial" w:eastAsia="Arial"/>
        <w:b w:val="0"/>
        <w:color w:val="5C6569"/>
        <w:sz w:val="14"/>
      </w:rPr>
      <w:t>Mainzer Straße 118 · 65189 Wiesbaden</w:t>
    </w:r>
  </w:p>
  <w:p>
    <w:pPr>
      <w:spacing w:after="0"/>
    </w:pPr>
    <w:r>
      <w:rPr>
        <w:rFonts w:ascii="Arial" w:hAnsi="Arial" w:eastAsia="Arial"/>
        <w:b w:val="0"/>
        <w:color w:val="5C6569"/>
        <w:sz w:val="14"/>
      </w:rPr>
      <w:t>Telefon 0611 9774-0 · Telefax 0611 9774-219 · personal@rhein-main-drucktechnik.de</w:t>
    </w:r>
  </w:p>
  <w:p>
    <w:pPr>
      <w:spacing w:after="0"/>
    </w:pPr>
    <w:r>
      <w:rPr>
        <w:rFonts w:ascii="Arial" w:hAnsi="Arial" w:eastAsia="Arial"/>
        <w:b w:val="0"/>
        <w:color w:val="5C6569"/>
        <w:sz w:val="14"/>
      </w:rPr>
      <w:t>Vorstand: Dr. Gunnar Reichelt, Annette Specht · Amtsgericht Wiesbaden HRB 11842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Mittelbare Versorgungsverpflichtungen und mögliche Kassenmaßnahmen</dc:title>
  <dc:subject>JA 2024-17 / Pensionskasse</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