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AKTENVERMERK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26-RB-118 / wz</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Merve Özdemir</w:t>
            </w:r>
          </w:p>
        </w:tc>
      </w:tr>
    </w:tbl>
    <w:p/>
    <w:p>
      <w:pPr>
        <w:pStyle w:val="Title"/>
      </w:pPr>
      <w:r>
        <w:rPr>
          <w:rFonts w:ascii="Arial" w:hAnsi="Arial" w:eastAsia="Arial"/>
          <w:b/>
          <w:color w:val="173941"/>
          <w:sz w:val="34"/>
        </w:rPr>
        <w:t>Bearbeitungsstand Lampe gegen Rhein-Main Drucktechnik AG</w:t>
      </w:r>
    </w:p>
    <w:p>
      <w:pPr>
        <w:pStyle w:val="Heading1"/>
      </w:pPr>
      <w:r>
        <w:t>1. Posteingang</w:t>
      </w:r>
    </w:p>
    <w:p>
      <w:pPr>
        <w:jc w:val="both"/>
      </w:pPr>
      <w:r>
        <w:rPr>
          <w:rFonts w:ascii="Arial" w:hAnsi="Arial" w:eastAsia="Arial"/>
          <w:b w:val="0"/>
          <w:sz w:val="21"/>
        </w:rPr>
        <w:t>Am 6. Juli 2026 gingen die unterschriebene Vollmacht, der Kontoauszug Juni und ein Foto des Umschlags zum Arbeitgeberschreiben ein. Zugang des Arbeitgeberangebots ist danach am 20. Juni 2026. Die Mandantin hat die Abgeltungserklärung nicht unterschrieben.</w:t>
      </w:r>
    </w:p>
    <w:p>
      <w:pPr>
        <w:pStyle w:val="Heading1"/>
      </w:pPr>
      <w:r>
        <w:t>2. Sofortmaßnahmen</w:t>
      </w:r>
    </w:p>
    <w:p>
      <w:pPr>
        <w:jc w:val="both"/>
      </w:pPr>
      <w:r>
        <w:rPr>
          <w:rFonts w:ascii="Arial" w:hAnsi="Arial" w:eastAsia="Arial"/>
          <w:b w:val="0"/>
          <w:sz w:val="21"/>
        </w:rPr>
        <w:t>Heute werden getrennte Auskunftsschreiben an Arbeitgeber und Pensionskasse vorbereitet. Beim Arbeitgeber sind vollständige Versorgungsordnung, Änderungsvereinbarungen, individuelle Behandlung der Kürzung und Anpassungsentscheidung anzufordern. Bei der Kasse sind Rentenbeginnberechnung, Versorgungspunkte, alter und neuer Rentenfaktor sowie Satzungsgrundlage anzufordern.</w:t>
      </w:r>
    </w:p>
    <w:p>
      <w:pPr>
        <w:pStyle w:val="Heading1"/>
      </w:pPr>
      <w:r>
        <w:t>3. Fristen</w:t>
      </w:r>
    </w:p>
    <w:p>
      <w:pPr>
        <w:jc w:val="both"/>
      </w:pPr>
      <w:r>
        <w:rPr>
          <w:rFonts w:ascii="Arial" w:hAnsi="Arial" w:eastAsia="Arial"/>
          <w:b w:val="0"/>
          <w:sz w:val="21"/>
        </w:rPr>
        <w:t>Wiedervorlage zur Angebotsfrist am 8. Juli 2026. Telefontermin mit Frau Lampe am 12. Juli 2026 um 15:30 Uhr. Ohne ausreichende Auskunft bis 25. Juli 2026 erfolgt eine zweite Aufforderung mit konkreter Bezeichnung der fehlenden Unterlagen.</w:t>
      </w:r>
    </w:p>
    <w:p>
      <w:pPr>
        <w:pStyle w:val="Heading1"/>
      </w:pPr>
      <w:r>
        <w:t>4. Offene Tatsachen</w:t>
      </w:r>
    </w:p>
    <w:p>
      <w:pPr>
        <w:jc w:val="both"/>
      </w:pPr>
      <w:r>
        <w:rPr>
          <w:rFonts w:ascii="Arial" w:hAnsi="Arial" w:eastAsia="Arial"/>
          <w:b w:val="0"/>
          <w:sz w:val="21"/>
        </w:rPr>
        <w:t>Nicht geklärt sind Änderungen der Versorgungsordnung nach 1998, der genaue Tarifbestand bei Rentenbeginn, eine mögliche arbeitgeberseitige Anpassungsprüfung und der vollständige Wortlaut der E-Mail von 2021. Tochter Clara Lampe sucht am alten Rechner nach dem E-Mail-Verlauf.</w:t>
      </w:r>
    </w:p>
    <w:p>
      <w:pPr>
        <w:spacing w:before="280"/>
      </w:pPr>
      <w:r>
        <w:rPr>
          <w:rFonts w:ascii="Arial" w:hAnsi="Arial" w:eastAsia="Arial"/>
          <w:b/>
          <w:sz w:val="21"/>
        </w:rPr>
        <w:t>Merve Özdemir</w:t>
      </w:r>
    </w:p>
    <w:p>
      <w:pPr>
        <w:spacing w:after="0"/>
      </w:pPr>
      <w:r>
        <w:rPr>
          <w:rFonts w:ascii="Arial" w:hAnsi="Arial" w:eastAsia="Arial"/>
          <w:b w:val="0"/>
          <w:color w:val="5C6569"/>
          <w:sz w:val="18"/>
        </w:rPr>
        <w:t>Rechtsanwaltsfachangestellte · gegengezeichnet Kai Jessen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26-RB-118 · Wiedervorlage 8.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Jessen &amp; Kollegium</w:t>
    </w:r>
  </w:p>
  <w:p>
    <w:pPr>
      <w:spacing w:after="0"/>
    </w:pPr>
    <w:r>
      <w:rPr>
        <w:rFonts w:ascii="Arial" w:hAnsi="Arial" w:eastAsia="Arial"/>
        <w:b w:val="0"/>
        <w:color w:val="5C6569"/>
        <w:sz w:val="14"/>
      </w:rPr>
      <w:t>Rheinstraße 36 · 65185 Wiesbaden</w:t>
    </w:r>
  </w:p>
  <w:p>
    <w:pPr>
      <w:spacing w:after="0"/>
    </w:pPr>
    <w:r>
      <w:rPr>
        <w:rFonts w:ascii="Arial" w:hAnsi="Arial" w:eastAsia="Arial"/>
        <w:b w:val="0"/>
        <w:color w:val="5C6569"/>
        <w:sz w:val="14"/>
      </w:rPr>
      <w:t>Telefon 0611 33682-0 · Telefax 0611 33682-19 · post@jessen-rentenberatung.de</w:t>
    </w:r>
  </w:p>
  <w:p>
    <w:pPr>
      <w:spacing w:after="0"/>
    </w:pPr>
    <w:r>
      <w:rPr>
        <w:rFonts w:ascii="Arial" w:hAnsi="Arial" w:eastAsia="Arial"/>
        <w:b w:val="0"/>
        <w:color w:val="5C6569"/>
        <w:sz w:val="14"/>
      </w:rPr>
      <w:t>Rentenberater Kai Jessen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Bearbeitungsstand Lampe gegen Rhein-Main Drucktechnik AG</dc:title>
  <dc:subject>26-RB-118 / wz</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