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WIDERSPRUCH</w:t>
      </w:r>
    </w:p>
    <w:p>
      <w:pPr>
        <w:spacing w:after="100"/>
      </w:pPr>
      <w:r>
        <w:rPr>
          <w:rFonts w:ascii="Arial" w:hAnsi="Arial" w:eastAsia="Arial"/>
          <w:b w:val="0"/>
          <w:color w:val="5C6569"/>
          <w:sz w:val="14"/>
        </w:rPr>
        <w:t>Rentenberatung Frings · Hohenzollernring 57 · 50672 Köln</w:t>
      </w:r>
    </w:p>
    <w:p>
      <w:pPr>
        <w:spacing w:after="0"/>
      </w:pPr>
      <w:r>
        <w:rPr>
          <w:rFonts w:ascii="Arial" w:hAnsi="Arial" w:eastAsia="Arial"/>
          <w:b w:val="0"/>
          <w:sz w:val="18"/>
        </w:rPr>
        <w:t>Deutsche Rentenversicherung Bund</w:t>
      </w:r>
    </w:p>
    <w:p>
      <w:pPr>
        <w:spacing w:after="0"/>
      </w:pPr>
      <w:r>
        <w:rPr>
          <w:rFonts w:ascii="Arial" w:hAnsi="Arial" w:eastAsia="Arial"/>
          <w:b w:val="0"/>
          <w:sz w:val="18"/>
        </w:rPr>
        <w:t>Leistungsabteilung 7</w:t>
      </w:r>
    </w:p>
    <w:p>
      <w:pPr>
        <w:spacing w:after="0"/>
      </w:pPr>
      <w:r>
        <w:rPr>
          <w:rFonts w:ascii="Arial" w:hAnsi="Arial" w:eastAsia="Arial"/>
          <w:b w:val="0"/>
          <w:sz w:val="18"/>
        </w:rPr>
        <w:t>Ruhrstraße 2</w:t>
      </w:r>
    </w:p>
    <w:p>
      <w:pPr>
        <w:spacing w:after="0"/>
      </w:pPr>
      <w:r>
        <w:rPr>
          <w:rFonts w:ascii="Arial" w:hAnsi="Arial" w:eastAsia="Arial"/>
          <w:b w:val="0"/>
          <w:sz w:val="18"/>
        </w:rPr>
        <w:t>10709 Berlin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RF-26-204 · VSNR 53 170885 R 214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Jana Frings</w:t>
            </w:r>
          </w:p>
        </w:tc>
      </w:tr>
    </w:tbl>
    <w:p/>
    <w:p>
      <w:pPr>
        <w:pStyle w:val="Title"/>
      </w:pPr>
      <w:r>
        <w:rPr>
          <w:rFonts w:ascii="Arial" w:hAnsi="Arial" w:eastAsia="Arial"/>
          <w:b/>
          <w:color w:val="173941"/>
          <w:sz w:val="34"/>
        </w:rPr>
        <w:t>Widerspruch gegen den Bescheid vom 22. Juni 2026</w:t>
      </w:r>
    </w:p>
    <w:p>
      <w:pPr>
        <w:jc w:val="both"/>
      </w:pPr>
      <w:r>
        <w:rPr>
          <w:rFonts w:ascii="Arial" w:hAnsi="Arial" w:eastAsia="Arial"/>
          <w:b w:val="0"/>
          <w:sz w:val="21"/>
        </w:rPr>
        <w:t>Sehr geehrte Damen und Herren,</w:t>
      </w:r>
    </w:p>
    <w:p>
      <w:pPr>
        <w:pStyle w:val="Heading1"/>
      </w:pPr>
      <w:r>
        <w:t>1. Widerspruch</w:t>
      </w:r>
    </w:p>
    <w:p>
      <w:pPr>
        <w:jc w:val="both"/>
      </w:pPr>
      <w:r>
        <w:rPr>
          <w:rFonts w:ascii="Arial" w:hAnsi="Arial" w:eastAsia="Arial"/>
          <w:b w:val="0"/>
          <w:sz w:val="21"/>
        </w:rPr>
        <w:t>Gegen den am 24. Juni 2026 zugegangenen Bescheid vom 22. Juni 2026 legen wir namens und in Vollmacht von Frau Saskia Renneberg Widerspruch ein. Beantragt wird zunächst vollständige Akteneinsicht einschließlich der sozialmedizinischen Stellungnahme vom 15. Juni 2026 und der Dokumentation der Untersuchung vom 10. Juni 2026.</w:t>
      </w:r>
    </w:p>
    <w:p>
      <w:pPr>
        <w:pStyle w:val="Heading1"/>
      </w:pPr>
      <w:r>
        <w:t>2. Tatsächliche Belastbarkeit</w:t>
      </w:r>
    </w:p>
    <w:p>
      <w:pPr>
        <w:jc w:val="both"/>
      </w:pPr>
      <w:r>
        <w:rPr>
          <w:rFonts w:ascii="Arial" w:hAnsi="Arial" w:eastAsia="Arial"/>
          <w:b w:val="0"/>
          <w:sz w:val="21"/>
        </w:rPr>
        <w:t>Der Bescheid leitet aus einem 62-minütigen Gespräch und einem kurzen Weg im Dienstgebäude eine sechsstündige tägliche Leistungsfähigkeit ab. Nicht erkennbar berücksichtigt sind die nach Belastung auftretenden Einbrüche, die notwendige Liegezeit und die fehlende Wiederholbarkeit an fünf Arbeitstagen. Der Reha-Bericht dokumentiert an zwölf Tagen reduzierte Programme und einen zweitägigen Einbruch nach einer 75-minütigen Einheit.</w:t>
      </w:r>
    </w:p>
    <w:p>
      <w:pPr>
        <w:pStyle w:val="Heading1"/>
      </w:pPr>
      <w:r>
        <w:t>3. Zusammenschau der Befunde</w:t>
      </w:r>
    </w:p>
    <w:p>
      <w:pPr>
        <w:jc w:val="both"/>
      </w:pPr>
      <w:r>
        <w:rPr>
          <w:rFonts w:ascii="Arial" w:hAnsi="Arial" w:eastAsia="Arial"/>
          <w:b w:val="0"/>
          <w:sz w:val="21"/>
        </w:rPr>
        <w:t>POTS, Fatigue, kognitive Verlangsamung und Belastungsintoleranz dürfen nicht isoliert bewertet werden. Entscheidend ist, ob Arbeitswege, Anwesenheit, Konzentrationsblöcke und betriebsübliche Pausen zuverlässig eingehalten werden können. Der abgebrochene Arbeitsplatzversuch im OP-Büro und das Belastungstagebuch werden nachgereicht.</w:t>
      </w:r>
    </w:p>
    <w:p>
      <w:pPr>
        <w:pStyle w:val="Heading1"/>
      </w:pPr>
      <w:r>
        <w:t>4. Weitere Ermittlungen</w:t>
      </w:r>
    </w:p>
    <w:p>
      <w:pPr>
        <w:jc w:val="both"/>
      </w:pPr>
      <w:r>
        <w:rPr>
          <w:rFonts w:ascii="Arial" w:hAnsi="Arial" w:eastAsia="Arial"/>
          <w:b w:val="0"/>
          <w:sz w:val="21"/>
        </w:rPr>
        <w:t>Nach Akteneinsicht soll geprüft werden, ob eine ergänzende kardiologische Untersuchung, eine funktionelle Belastungserprobung über mehrere Tage und eine Arbeitgeberauskunft erforderlich sind. Die Begründung bleibt bis vier Wochen nach vollständiger Akteneinsicht vorbehalten.</w:t>
      </w:r>
    </w:p>
    <w:p>
      <w:pPr>
        <w:jc w:val="both"/>
      </w:pPr>
      <w:r>
        <w:rPr>
          <w:rFonts w:ascii="Arial" w:hAnsi="Arial" w:eastAsia="Arial"/>
          <w:b w:val="0"/>
          <w:sz w:val="21"/>
        </w:rPr>
        <w:t>Bitte bestätigen Sie den Eingang und übersenden Sie die elektronische Verwaltungsakte in einem lesbaren Format.</w:t>
      </w:r>
    </w:p>
    <w:p>
      <w:pPr>
        <w:spacing w:before="280"/>
      </w:pPr>
      <w:r>
        <w:rPr>
          <w:rFonts w:ascii="Arial" w:hAnsi="Arial" w:eastAsia="Arial"/>
          <w:b/>
          <w:sz w:val="21"/>
        </w:rPr>
        <w:t>Jana Frings</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RF-26-204 · Entwurf vom 1.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Frings</w:t>
    </w:r>
  </w:p>
  <w:p>
    <w:pPr>
      <w:spacing w:after="0"/>
    </w:pPr>
    <w:r>
      <w:rPr>
        <w:rFonts w:ascii="Arial" w:hAnsi="Arial" w:eastAsia="Arial"/>
        <w:b w:val="0"/>
        <w:color w:val="5C6569"/>
        <w:sz w:val="14"/>
      </w:rPr>
      <w:t>Hohenzollernring 57 · 50672 Köln</w:t>
    </w:r>
  </w:p>
  <w:p>
    <w:pPr>
      <w:spacing w:after="0"/>
    </w:pPr>
    <w:r>
      <w:rPr>
        <w:rFonts w:ascii="Arial" w:hAnsi="Arial" w:eastAsia="Arial"/>
        <w:b w:val="0"/>
        <w:color w:val="5C6569"/>
        <w:sz w:val="14"/>
      </w:rPr>
      <w:t>Telefon 0221 29917-0 · Telefax 0221 29917-29 · post@rentenberatung-frings.de</w:t>
    </w:r>
  </w:p>
  <w:p>
    <w:pPr>
      <w:spacing w:after="0"/>
    </w:pPr>
    <w:r>
      <w:rPr>
        <w:rFonts w:ascii="Arial" w:hAnsi="Arial" w:eastAsia="Arial"/>
        <w:b w:val="0"/>
        <w:color w:val="5C6569"/>
        <w:sz w:val="14"/>
      </w:rPr>
      <w:t>Rentenberaterin Jana Frings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den Bescheid vom 22. Juni 2026</dc:title>
  <dc:subject>RF-26-204 · VSNR 53 170885 R 214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