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3515"/>
      </w:tblGrid>
      <w:tr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64B"/>
                <w:sz w:val="30"/>
              </w:rPr>
              <w:t>HAUSVERWALTUNG KLINGSPOR GMBH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6"/>
              </w:rPr>
              <w:t>Karl-Heine-Straße 47 · 04229 Leipzig</w:t>
              <w:br/>
              <w:t>Telefon 0341 492 73-0</w:t>
              <w:br/>
              <w:t>abrechnung@klingspor.de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6973"/>
      </w:tblGrid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Mieterin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Alma Reuter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Zeitraum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1. Januar bis 31. Dezember 2025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Erstellt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9. April 2026</w:t>
            </w:r>
          </w:p>
        </w:tc>
      </w:tr>
      <w:tr>
        <w:tc>
          <w:tcPr>
            <w:tcW w:type="dxa" w:w="2041"/>
            <w:shd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Fällig</w:t>
            </w:r>
          </w:p>
        </w:tc>
        <w:tc>
          <w:tcPr>
            <w:tcW w:type="dxa" w:w="69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10. Juni 2026</w:t>
            </w:r>
          </w:p>
        </w:tc>
      </w:tr>
    </w:tbl>
    <w:p>
      <w:pPr>
        <w:spacing w:after="20"/>
      </w:pPr>
    </w:p>
    <w:p>
      <w:pPr>
        <w:pStyle w:val="Title"/>
      </w:pPr>
      <w:r>
        <w:t>Heiz- und Warmwasserkostenabrechnung 2025</w:t>
      </w:r>
    </w:p>
    <w:p>
      <w:pPr>
        <w:pStyle w:val="Heading1"/>
      </w:pPr>
      <w:r>
        <w:t>1. Gesamtkosten der Liegenschaft</w:t>
      </w:r>
    </w:p>
    <w:p>
      <w:r>
        <w:t>Die Abrechnung umfasst Erdgasbezug, Betriebsstrom, Wartung, Messdienst, Schornsteinfeger und Abrechnungsservice. Dreißig Prozent der umlagefähigen Kosten werden nach Wohnfläche und siebzig Prozent nach den erfassten Verbrauchseinheiten verteilt.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4535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Kostenart</w:t>
            </w:r>
          </w:p>
        </w:tc>
        <w:tc>
          <w:tcPr>
            <w:tcW w:type="dxa" w:w="2324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Liegenschaft</w:t>
            </w:r>
          </w:p>
        </w:tc>
        <w:tc>
          <w:tcPr>
            <w:tcW w:type="dxa" w:w="2324"/>
            <w:shd w:fill="385A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Anteil Reuter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Erdgas und CO2-Kosten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16842,10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2167,82</w:t>
            </w:r>
          </w:p>
        </w:tc>
      </w:tr>
      <w:tr>
        <w:tc>
          <w:tcPr>
            <w:tcW w:type="dxa" w:w="45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Betriebsstrom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842,70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102,05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Wartung und Messdienst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1368,90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165,78</w:t>
            </w:r>
          </w:p>
        </w:tc>
      </w:tr>
      <w:tr>
        <w:tc>
          <w:tcPr>
            <w:tcW w:type="dxa" w:w="453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Schornsteinfeger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469,20</w:t>
            </w:r>
          </w:p>
        </w:tc>
        <w:tc>
          <w:tcPr>
            <w:tcW w:type="dxa" w:w="232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56,79</w:t>
            </w:r>
          </w:p>
        </w:tc>
      </w:tr>
      <w:tr>
        <w:tc>
          <w:tcPr>
            <w:tcW w:type="dxa" w:w="4535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Summe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19522,90</w:t>
            </w:r>
          </w:p>
        </w:tc>
        <w:tc>
          <w:tcPr>
            <w:tcW w:type="dxa" w:w="2324"/>
            <w:shd w:fill="F4F6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2492,44</w:t>
            </w:r>
          </w:p>
        </w:tc>
      </w:tr>
    </w:tbl>
    <w:p>
      <w:pPr>
        <w:spacing w:after="20"/>
      </w:pPr>
    </w:p>
    <w:p>
      <w:pPr>
        <w:pStyle w:val="Heading1"/>
      </w:pPr>
      <w:r>
        <w:t>2. Anteil der Wohnung</w:t>
      </w:r>
    </w:p>
    <w:p>
      <w:r>
        <w:t>Die Wohnung Reuter hat 58,4 von insgesamt 482,3 Quadratmetern. Der gemessene Verbrauchsanteil beträgt 14,82 Prozent der Liegenschaft. Im Vorjahr lag ein ähnlicher Verbrauch vor; der durchschnittliche Gaspreis stieg nach den Lieferabrechnungen von 7,84 Cent auf 12,17 Cent je Kilowattstunde.</w:t>
      </w:r>
    </w:p>
    <w:p>
      <w:pPr>
        <w:pStyle w:val="Heading1"/>
      </w:pPr>
      <w:r>
        <w:t>3. Ergebnis</w:t>
      </w:r>
    </w:p>
    <w:p>
      <w:r>
        <w:t>Auf die Wohnung entfallen Heiz- und Warmwasserkosten von 2492,44 Euro. Berücksichtigt werden Vorauszahlungen von 1680,00 Euro. Daraus ergibt sich eine Nachzahlung von 812,44 Euro, fällig zum 10. Juni 2026 auf das Mietkonto der Hausverwaltung.</w:t>
      </w:r>
    </w:p>
    <w:p>
      <w:pPr>
        <w:pStyle w:val="Heading1"/>
      </w:pPr>
      <w:r>
        <w:t>4. Rückfragen</w:t>
      </w:r>
    </w:p>
    <w:p>
      <w:r>
        <w:t>Einwendungen gegen die Abrechnung sind schriftlich unter Angabe der Einheit und der beanstandeten Position einzureichen. Belegeinsicht ist nach Terminvereinbarung im Verwaltungsbüro möglich. Die Abrechnung ändert die monatliche Vorauszahlung zunächst nicht.</w:t>
      </w:r>
    </w:p>
    <w:p>
      <w:r>
        <w:t>Tabea Petsch</w:t>
        <w:br/>
        <w:t>Mietbuchhaltung Klingspor GmbH</w:t>
      </w:r>
    </w:p>
    <w:sectPr w:rsidR="00FC693F" w:rsidRPr="0006063C" w:rsidSect="00034616">
      <w:footerReference w:type="default" r:id="rId9"/>
      <w:pgSz w:w="11906" w:h="16838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HAUSVERWALTUNG KLINGSPOR GMBH · Objekt LK12 / Einheit 3L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5A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03b heizkostenabrechnung 2025</dc:title>
  <dc:subject/>
  <dc:creator>Kanzleiakte</dc:creator>
  <cp:keywords/>
  <dc:description>generated by python-docx</dc:description>
  <cp:lastModifiedBy>Kanzleiakte</cp:lastModifiedBy>
  <cp:revision>1</cp:revision>
  <dcterms:created xsi:type="dcterms:W3CDTF">2013-12-23T23:15:00Z</dcterms:created>
  <dcterms:modified xsi:type="dcterms:W3CDTF">2013-12-23T23:15:00Z</dcterms:modified>
  <cp:category/>
</cp:coreProperties>
</file>