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INTERNER AKTENVERMERK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6.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26-SOZ-184 / ea</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Eva Ahlers</w:t>
            </w:r>
          </w:p>
        </w:tc>
      </w:tr>
    </w:tbl>
    <w:p/>
    <w:p>
      <w:pPr>
        <w:pStyle w:val="Title"/>
      </w:pPr>
      <w:r>
        <w:rPr>
          <w:rFonts w:ascii="Arial" w:hAnsi="Arial" w:eastAsia="Arial"/>
          <w:b/>
          <w:color w:val="173941"/>
          <w:sz w:val="34"/>
        </w:rPr>
        <w:t>Widerspruch Anton Birk gegen Knappschaft-Mosel Pflegekasse</w:t>
      </w:r>
    </w:p>
    <w:p>
      <w:pPr>
        <w:pStyle w:val="Heading1"/>
      </w:pPr>
      <w:r>
        <w:t>1. Frist und Vollmacht</w:t>
      </w:r>
    </w:p>
    <w:p>
      <w:pPr>
        <w:jc w:val="both"/>
      </w:pPr>
      <w:r>
        <w:rPr>
          <w:rFonts w:ascii="Arial" w:hAnsi="Arial" w:eastAsia="Arial"/>
          <w:b w:val="0"/>
          <w:sz w:val="21"/>
        </w:rPr>
        <w:t>Bescheidzugang ist durch Umschlag und Tochterangabe auf den 19. Juni 2026 belegt. Der Widerspruch vom 25. Juni ging nach Faxprotokoll am selben Tag um 16:42 Uhr ein. Vollmacht vom 14. Mai liegt im Original vor.</w:t>
      </w:r>
    </w:p>
    <w:p>
      <w:pPr>
        <w:pStyle w:val="Heading1"/>
      </w:pPr>
      <w:r>
        <w:t>2. Akteneinsicht</w:t>
      </w:r>
    </w:p>
    <w:p>
      <w:pPr>
        <w:jc w:val="both"/>
      </w:pPr>
      <w:r>
        <w:rPr>
          <w:rFonts w:ascii="Arial" w:hAnsi="Arial" w:eastAsia="Arial"/>
          <w:b w:val="0"/>
          <w:sz w:val="21"/>
        </w:rPr>
        <w:t>Das übersandte Gutachten enthält nur die zusammenfassende Bewertung. Es fehlen Einzelpunktbogen, Interviewnotizen und die bei der Kasse eingegangenen Anlagen. Anforderung heute per beA vorbereiten; Wiedervorlage 10. Juli.</w:t>
      </w:r>
    </w:p>
    <w:p>
      <w:pPr>
        <w:pStyle w:val="Heading1"/>
      </w:pPr>
      <w:r>
        <w:t>3. Tatsachenbeweis</w:t>
      </w:r>
    </w:p>
    <w:p>
      <w:pPr>
        <w:jc w:val="both"/>
      </w:pPr>
      <w:r>
        <w:rPr>
          <w:rFonts w:ascii="Arial" w:hAnsi="Arial" w:eastAsia="Arial"/>
          <w:b w:val="0"/>
          <w:sz w:val="21"/>
        </w:rPr>
        <w:t>Die Nachtprotokolle sind mit Pflegedienstberichten, Nachrichten der Nachbarin und Hausarztvermerk abzugleichen. Karin Lauer ist grundsätzlich zu einer schriftlichen Erklärung bereit, möchte aber vorher den Wortlaut lesen. Fotos bleiben mit Originaldatum gesichert.</w:t>
      </w:r>
    </w:p>
    <w:p>
      <w:pPr>
        <w:pStyle w:val="Heading1"/>
      </w:pPr>
      <w:r>
        <w:t>4. Versorgung bis zur Entscheidung</w:t>
      </w:r>
    </w:p>
    <w:p>
      <w:pPr>
        <w:jc w:val="both"/>
      </w:pPr>
      <w:r>
        <w:rPr>
          <w:rFonts w:ascii="Arial" w:hAnsi="Arial" w:eastAsia="Arial"/>
          <w:b w:val="0"/>
          <w:sz w:val="21"/>
        </w:rPr>
        <w:t>Private Nachtbereitschaft ist nur bis 20. Juli finanziert. Parallel sind Herdabschaltung, Türkontakt, Entlastungsbetrag und eine mögliche vorläufige Kombination aus Familienhilfe und Pflegedienst zu klären. Die Kostenträgerfragen sind getrennt vom Pflegegrad zu führen.</w:t>
      </w:r>
    </w:p>
    <w:p>
      <w:pPr>
        <w:spacing w:before="280"/>
      </w:pPr>
      <w:r>
        <w:rPr>
          <w:rFonts w:ascii="Arial" w:hAnsi="Arial" w:eastAsia="Arial"/>
          <w:b/>
          <w:sz w:val="21"/>
        </w:rPr>
        <w:t>Eva Ahlers</w:t>
      </w:r>
    </w:p>
    <w:p>
      <w:pPr>
        <w:spacing w:after="0"/>
      </w:pPr>
      <w:r>
        <w:rPr>
          <w:rFonts w:ascii="Arial" w:hAnsi="Arial" w:eastAsia="Arial"/>
          <w:b w:val="0"/>
          <w:color w:val="5C6569"/>
          <w:sz w:val="18"/>
        </w:rPr>
        <w:t>Rechtsanwältin · Fachanwältin für Sozialrecht</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Akte 26-SOZ-184 · Birk / Pflegegrad</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Ahlers und Brinkmann</w:t>
    </w:r>
  </w:p>
  <w:p>
    <w:pPr>
      <w:spacing w:after="0"/>
    </w:pPr>
    <w:r>
      <w:rPr>
        <w:rFonts w:ascii="Arial" w:hAnsi="Arial" w:eastAsia="Arial"/>
        <w:b w:val="0"/>
        <w:color w:val="5C6569"/>
        <w:sz w:val="14"/>
      </w:rPr>
      <w:t>Südallee 18 · 54290 Trier</w:t>
    </w:r>
  </w:p>
  <w:p>
    <w:pPr>
      <w:spacing w:after="0"/>
    </w:pPr>
    <w:r>
      <w:rPr>
        <w:rFonts w:ascii="Arial" w:hAnsi="Arial" w:eastAsia="Arial"/>
        <w:b w:val="0"/>
        <w:color w:val="5C6569"/>
        <w:sz w:val="14"/>
      </w:rPr>
      <w:t>Telefon 0651 99831-0 · Telefax 0651 99831-18 · post@ahlers-brinkmann.de</w:t>
    </w:r>
  </w:p>
  <w:p>
    <w:pPr>
      <w:spacing w:after="0"/>
    </w:pPr>
    <w:r>
      <w:rPr>
        <w:rFonts w:ascii="Arial" w:hAnsi="Arial" w:eastAsia="Arial"/>
        <w:b w:val="0"/>
        <w:color w:val="5C6569"/>
        <w:sz w:val="14"/>
      </w:rPr>
      <w:t>Rechtsanwältin Eva Ahlers, Fachanwältin für Sozialrecht · Rechtsanwalt Moritz Brinkmann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Anton Birk gegen Knappschaft-Mosel Pflegekasse</dc:title>
  <dc:subject>26-SOZ-184 / ea</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