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KNÜPPEL &amp; PARTNER RENTENBERATUNG</w:t>
            </w:r>
          </w:p>
        </w:tc>
        <w:tc>
          <w:tcPr>
            <w:tcW w:type="dxa" w:w="3515"/>
            <w:vAlign w:val="center"/>
            <w:tcMar>
              <w:top w:w="70" w:type="dxa"/>
              <w:left w:w="70" w:type="dxa"/>
              <w:bottom w:w="70" w:type="dxa"/>
              <w:right w:w="70" w:type="dxa"/>
            </w:tcMar>
          </w:tcPr>
          <w:p>
            <w:pPr>
              <w:spacing w:after="0"/>
              <w:jc w:val="right"/>
            </w:pPr>
            <w:r>
              <w:rPr>
                <w:rFonts w:ascii="Arial" w:hAnsi="Arial"/>
                <w:sz w:val="16"/>
              </w:rPr>
              <w:t>Brüderweg 11 · 44135 Dortmund</w:t>
              <w:br/>
              <w:t>Telefon 0231 440 87-20</w:t>
              <w:br/>
              <w:t>kanzlei@knueppel-rentenberatung.de</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Bäckerei Kleinschmidt OHG, Lange Straße 41, 44532 Lünen</w:t>
            </w:r>
          </w:p>
        </w:tc>
      </w:tr>
      <w:tr>
        <w:tc>
          <w:tcPr>
            <w:tcW w:type="dxa" w:w="2041"/>
            <w:shd w:fill="E9EEF2"/>
            <w:tcMar>
              <w:top w:w="90" w:type="dxa"/>
              <w:left w:w="90" w:type="dxa"/>
              <w:bottom w:w="90" w:type="dxa"/>
              <w:right w:w="90" w:type="dxa"/>
            </w:tcMar>
            <w:vAlign w:val="center"/>
          </w:tcPr>
          <w:p>
            <w:r>
              <w:rPr>
                <w:rFonts w:ascii="Arial" w:hAnsi="Arial"/>
                <w:b/>
                <w:sz w:val="18"/>
              </w:rPr>
              <w:t>Betroffene</w:t>
            </w:r>
          </w:p>
        </w:tc>
        <w:tc>
          <w:tcPr>
            <w:tcW w:type="dxa" w:w="6973"/>
            <w:tcMar>
              <w:top w:w="90" w:type="dxa"/>
              <w:left w:w="90" w:type="dxa"/>
              <w:bottom w:w="90" w:type="dxa"/>
              <w:right w:w="90" w:type="dxa"/>
            </w:tcMar>
            <w:vAlign w:val="center"/>
          </w:tcPr>
          <w:p>
            <w:r>
              <w:rPr>
                <w:rFonts w:ascii="Arial" w:hAnsi="Arial"/>
                <w:sz w:val="18"/>
              </w:rPr>
              <w:t>Nora Kleinschmidt, Kleinschmidt Büroservice</w:t>
            </w:r>
          </w:p>
        </w:tc>
      </w:tr>
      <w:tr>
        <w:tc>
          <w:tcPr>
            <w:tcW w:type="dxa" w:w="2041"/>
            <w:shd w:fill="E9EEF2"/>
            <w:tcMar>
              <w:top w:w="90" w:type="dxa"/>
              <w:left w:w="90" w:type="dxa"/>
              <w:bottom w:w="90" w:type="dxa"/>
              <w:right w:w="90" w:type="dxa"/>
            </w:tcMar>
            <w:vAlign w:val="center"/>
          </w:tcPr>
          <w:p>
            <w:r>
              <w:rPr>
                <w:rFonts w:ascii="Arial" w:hAnsi="Arial"/>
                <w:b/>
                <w:sz w:val="18"/>
              </w:rPr>
              <w:t>Verfahren</w:t>
            </w:r>
          </w:p>
        </w:tc>
        <w:tc>
          <w:tcPr>
            <w:tcW w:type="dxa" w:w="6973"/>
            <w:tcMar>
              <w:top w:w="90" w:type="dxa"/>
              <w:left w:w="90" w:type="dxa"/>
              <w:bottom w:w="90" w:type="dxa"/>
              <w:right w:w="90" w:type="dxa"/>
            </w:tcMar>
            <w:vAlign w:val="center"/>
          </w:tcPr>
          <w:p>
            <w:r>
              <w:rPr>
                <w:rFonts w:ascii="Arial" w:hAnsi="Arial"/>
                <w:sz w:val="18"/>
              </w:rPr>
              <w:t>DRV Bund, Statusfeststellung; Stellungnahmefrist 22. Juli 2026</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BK-LU/2026-118</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3. Juli 2026</w:t>
            </w:r>
          </w:p>
        </w:tc>
      </w:tr>
    </w:tbl>
    <w:p>
      <w:pPr>
        <w:spacing w:after="20"/>
      </w:pPr>
    </w:p>
    <w:p>
      <w:pPr>
        <w:pStyle w:val="Title"/>
      </w:pPr>
      <w:r>
        <w:t>Indizien- und Belegmatrix</w:t>
      </w:r>
    </w:p>
    <w:p>
      <w:pPr>
        <w:pStyle w:val="Heading1"/>
      </w:pPr>
      <w:r>
        <w:t>1. Erfassungsgrundlage</w:t>
      </w:r>
    </w:p>
    <w:p>
      <w:r>
        <w:t>Die Matrix stellt Vertragswortlaut, beobachtete Durchführung und vorhandene Belege nebeneinander. Sie enthält keine abschließende Statusentscheidung. Für jeden Zeitraum ist gesondert zu prüfen, ob Nora Kleinschmidt ihre Büroserviceleistungen im eigenen Geschäftsbetrieb erbrachte oder in die Arbeitsorganisation der Bäckerei eingegliedert war.</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1361"/>
            <w:shd w:fill="385A64"/>
            <w:tcMar>
              <w:top w:w="90" w:type="dxa"/>
              <w:left w:w="90" w:type="dxa"/>
              <w:bottom w:w="90" w:type="dxa"/>
              <w:right w:w="90" w:type="dxa"/>
            </w:tcMar>
          </w:tcPr>
          <w:p>
            <w:r>
              <w:rPr>
                <w:rFonts w:ascii="Arial" w:hAnsi="Arial"/>
                <w:b/>
                <w:color w:val="FFFFFF"/>
                <w:sz w:val="17"/>
              </w:rPr>
              <w:t>Prüfpunkt</w:t>
            </w:r>
          </w:p>
        </w:tc>
        <w:tc>
          <w:tcPr>
            <w:tcW w:type="dxa" w:w="1928"/>
            <w:shd w:fill="385A64"/>
            <w:tcMar>
              <w:top w:w="90" w:type="dxa"/>
              <w:left w:w="90" w:type="dxa"/>
              <w:bottom w:w="90" w:type="dxa"/>
              <w:right w:w="90" w:type="dxa"/>
            </w:tcMar>
          </w:tcPr>
          <w:p>
            <w:r>
              <w:rPr>
                <w:rFonts w:ascii="Arial" w:hAnsi="Arial"/>
                <w:b/>
                <w:color w:val="FFFFFF"/>
                <w:sz w:val="17"/>
              </w:rPr>
              <w:t>Vertragliche Angabe</w:t>
            </w:r>
          </w:p>
        </w:tc>
        <w:tc>
          <w:tcPr>
            <w:tcW w:type="dxa" w:w="2835"/>
            <w:shd w:fill="385A64"/>
            <w:tcMar>
              <w:top w:w="90" w:type="dxa"/>
              <w:left w:w="90" w:type="dxa"/>
              <w:bottom w:w="90" w:type="dxa"/>
              <w:right w:w="90" w:type="dxa"/>
            </w:tcMar>
          </w:tcPr>
          <w:p>
            <w:r>
              <w:rPr>
                <w:rFonts w:ascii="Arial" w:hAnsi="Arial"/>
                <w:b/>
                <w:color w:val="FFFFFF"/>
                <w:sz w:val="17"/>
              </w:rPr>
              <w:t>Tatsächlicher Vorgang</w:t>
            </w:r>
          </w:p>
        </w:tc>
        <w:tc>
          <w:tcPr>
            <w:tcW w:type="dxa" w:w="2948"/>
            <w:shd w:fill="385A64"/>
            <w:tcMar>
              <w:top w:w="90" w:type="dxa"/>
              <w:left w:w="90" w:type="dxa"/>
              <w:bottom w:w="90" w:type="dxa"/>
              <w:right w:w="90" w:type="dxa"/>
            </w:tcMar>
          </w:tcPr>
          <w:p>
            <w:r>
              <w:rPr>
                <w:rFonts w:ascii="Arial" w:hAnsi="Arial"/>
                <w:b/>
                <w:color w:val="FFFFFF"/>
                <w:sz w:val="17"/>
              </w:rPr>
              <w:t>Beleg / offene Nachfrage</w:t>
            </w:r>
          </w:p>
        </w:tc>
      </w:tr>
      <w:tr>
        <w:tc>
          <w:tcPr>
            <w:tcW w:type="dxa" w:w="1361"/>
            <w:shd w:fill="F4F6F7"/>
            <w:tcMar>
              <w:top w:w="90" w:type="dxa"/>
              <w:left w:w="90" w:type="dxa"/>
              <w:bottom w:w="90" w:type="dxa"/>
              <w:right w:w="90" w:type="dxa"/>
            </w:tcMar>
            <w:vAlign w:val="center"/>
          </w:tcPr>
          <w:p>
            <w:r>
              <w:rPr>
                <w:rFonts w:ascii="Arial" w:hAnsi="Arial"/>
                <w:sz w:val="16"/>
              </w:rPr>
              <w:t>Arbeitszeit</w:t>
            </w:r>
          </w:p>
        </w:tc>
        <w:tc>
          <w:tcPr>
            <w:tcW w:type="dxa" w:w="1928"/>
            <w:shd w:fill="F4F6F7"/>
            <w:tcMar>
              <w:top w:w="90" w:type="dxa"/>
              <w:left w:w="90" w:type="dxa"/>
              <w:bottom w:w="90" w:type="dxa"/>
              <w:right w:w="90" w:type="dxa"/>
            </w:tcMar>
            <w:vAlign w:val="center"/>
          </w:tcPr>
          <w:p>
            <w:r>
              <w:rPr>
                <w:rFonts w:ascii="Arial" w:hAnsi="Arial"/>
                <w:sz w:val="16"/>
              </w:rPr>
              <w:t>freie Zeiteinteilung</w:t>
            </w:r>
          </w:p>
        </w:tc>
        <w:tc>
          <w:tcPr>
            <w:tcW w:type="dxa" w:w="2835"/>
            <w:shd w:fill="F4F6F7"/>
            <w:tcMar>
              <w:top w:w="90" w:type="dxa"/>
              <w:left w:w="90" w:type="dxa"/>
              <w:bottom w:w="90" w:type="dxa"/>
              <w:right w:w="90" w:type="dxa"/>
            </w:tcMar>
            <w:vAlign w:val="center"/>
          </w:tcPr>
          <w:p>
            <w:r>
              <w:rPr>
                <w:rFonts w:ascii="Arial" w:hAnsi="Arial"/>
                <w:sz w:val="16"/>
              </w:rPr>
              <w:t>Montag bis Freitag meist 06:30 bis 10:30 Uhr im Büro der Backstube</w:t>
            </w:r>
          </w:p>
        </w:tc>
        <w:tc>
          <w:tcPr>
            <w:tcW w:type="dxa" w:w="2948"/>
            <w:shd w:fill="F4F6F7"/>
            <w:tcMar>
              <w:top w:w="90" w:type="dxa"/>
              <w:left w:w="90" w:type="dxa"/>
              <w:bottom w:w="90" w:type="dxa"/>
              <w:right w:w="90" w:type="dxa"/>
            </w:tcMar>
            <w:vAlign w:val="center"/>
          </w:tcPr>
          <w:p>
            <w:r>
              <w:rPr>
                <w:rFonts w:ascii="Arial" w:hAnsi="Arial"/>
                <w:sz w:val="16"/>
              </w:rPr>
              <w:t>Kassenlogin und Kalenderexport; Abweichungen 2022/23 fehlen</w:t>
            </w:r>
          </w:p>
        </w:tc>
      </w:tr>
      <w:tr>
        <w:tc>
          <w:tcPr>
            <w:tcW w:type="dxa" w:w="1361"/>
            <w:tcMar>
              <w:top w:w="90" w:type="dxa"/>
              <w:left w:w="90" w:type="dxa"/>
              <w:bottom w:w="90" w:type="dxa"/>
              <w:right w:w="90" w:type="dxa"/>
            </w:tcMar>
            <w:vAlign w:val="center"/>
          </w:tcPr>
          <w:p>
            <w:r>
              <w:rPr>
                <w:rFonts w:ascii="Arial" w:hAnsi="Arial"/>
                <w:sz w:val="16"/>
              </w:rPr>
              <w:t>Arbeitsort</w:t>
            </w:r>
          </w:p>
        </w:tc>
        <w:tc>
          <w:tcPr>
            <w:tcW w:type="dxa" w:w="1928"/>
            <w:tcMar>
              <w:top w:w="90" w:type="dxa"/>
              <w:left w:w="90" w:type="dxa"/>
              <w:bottom w:w="90" w:type="dxa"/>
              <w:right w:w="90" w:type="dxa"/>
            </w:tcMar>
            <w:vAlign w:val="center"/>
          </w:tcPr>
          <w:p>
            <w:r>
              <w:rPr>
                <w:rFonts w:ascii="Arial" w:hAnsi="Arial"/>
                <w:sz w:val="16"/>
              </w:rPr>
              <w:t>kein fester Ort vereinbart</w:t>
            </w:r>
          </w:p>
        </w:tc>
        <w:tc>
          <w:tcPr>
            <w:tcW w:type="dxa" w:w="2835"/>
            <w:tcMar>
              <w:top w:w="90" w:type="dxa"/>
              <w:left w:w="90" w:type="dxa"/>
              <w:bottom w:w="90" w:type="dxa"/>
              <w:right w:w="90" w:type="dxa"/>
            </w:tcMar>
            <w:vAlign w:val="center"/>
          </w:tcPr>
          <w:p>
            <w:r>
              <w:rPr>
                <w:rFonts w:ascii="Arial" w:hAnsi="Arial"/>
                <w:sz w:val="16"/>
              </w:rPr>
              <w:t>Buchhaltung und Kassenklärung überwiegend Lange Straße 41</w:t>
            </w:r>
          </w:p>
        </w:tc>
        <w:tc>
          <w:tcPr>
            <w:tcW w:type="dxa" w:w="2948"/>
            <w:tcMar>
              <w:top w:w="90" w:type="dxa"/>
              <w:left w:w="90" w:type="dxa"/>
              <w:bottom w:w="90" w:type="dxa"/>
              <w:right w:w="90" w:type="dxa"/>
            </w:tcMar>
            <w:vAlign w:val="center"/>
          </w:tcPr>
          <w:p>
            <w:r>
              <w:rPr>
                <w:rFonts w:ascii="Arial" w:hAnsi="Arial"/>
                <w:sz w:val="16"/>
              </w:rPr>
              <w:t>Zugangsprotokoll; eigenes Büro Kampstraße fotografisch belegen</w:t>
            </w:r>
          </w:p>
        </w:tc>
      </w:tr>
      <w:tr>
        <w:tc>
          <w:tcPr>
            <w:tcW w:type="dxa" w:w="1361"/>
            <w:shd w:fill="F4F6F7"/>
            <w:tcMar>
              <w:top w:w="90" w:type="dxa"/>
              <w:left w:w="90" w:type="dxa"/>
              <w:bottom w:w="90" w:type="dxa"/>
              <w:right w:w="90" w:type="dxa"/>
            </w:tcMar>
            <w:vAlign w:val="center"/>
          </w:tcPr>
          <w:p>
            <w:r>
              <w:rPr>
                <w:rFonts w:ascii="Arial" w:hAnsi="Arial"/>
                <w:sz w:val="16"/>
              </w:rPr>
              <w:t>Personal</w:t>
            </w:r>
          </w:p>
        </w:tc>
        <w:tc>
          <w:tcPr>
            <w:tcW w:type="dxa" w:w="1928"/>
            <w:shd w:fill="F4F6F7"/>
            <w:tcMar>
              <w:top w:w="90" w:type="dxa"/>
              <w:left w:w="90" w:type="dxa"/>
              <w:bottom w:w="90" w:type="dxa"/>
              <w:right w:w="90" w:type="dxa"/>
            </w:tcMar>
            <w:vAlign w:val="center"/>
          </w:tcPr>
          <w:p>
            <w:r>
              <w:rPr>
                <w:rFonts w:ascii="Arial" w:hAnsi="Arial"/>
                <w:sz w:val="16"/>
              </w:rPr>
              <w:t>nur kaufmännischer Service</w:t>
            </w:r>
          </w:p>
        </w:tc>
        <w:tc>
          <w:tcPr>
            <w:tcW w:type="dxa" w:w="2835"/>
            <w:shd w:fill="F4F6F7"/>
            <w:tcMar>
              <w:top w:w="90" w:type="dxa"/>
              <w:left w:w="90" w:type="dxa"/>
              <w:bottom w:w="90" w:type="dxa"/>
              <w:right w:w="90" w:type="dxa"/>
            </w:tcMar>
            <w:vAlign w:val="center"/>
          </w:tcPr>
          <w:p>
            <w:r>
              <w:rPr>
                <w:rFonts w:ascii="Arial" w:hAnsi="Arial"/>
                <w:sz w:val="16"/>
              </w:rPr>
              <w:t>Urlaubsfreigaben und Einsatz bei Verkaufsausfall</w:t>
            </w:r>
          </w:p>
        </w:tc>
        <w:tc>
          <w:tcPr>
            <w:tcW w:type="dxa" w:w="2948"/>
            <w:shd w:fill="F4F6F7"/>
            <w:tcMar>
              <w:top w:w="90" w:type="dxa"/>
              <w:left w:w="90" w:type="dxa"/>
              <w:bottom w:w="90" w:type="dxa"/>
              <w:right w:w="90" w:type="dxa"/>
            </w:tcMar>
            <w:vAlign w:val="center"/>
          </w:tcPr>
          <w:p>
            <w:r>
              <w:rPr>
                <w:rFonts w:ascii="Arial" w:hAnsi="Arial"/>
                <w:sz w:val="16"/>
              </w:rPr>
              <w:t>Dienstpläne KW 10 bis 18/2026; Befragung Filialleiterin</w:t>
            </w:r>
          </w:p>
        </w:tc>
      </w:tr>
      <w:tr>
        <w:tc>
          <w:tcPr>
            <w:tcW w:type="dxa" w:w="1361"/>
            <w:tcMar>
              <w:top w:w="90" w:type="dxa"/>
              <w:left w:w="90" w:type="dxa"/>
              <w:bottom w:w="90" w:type="dxa"/>
              <w:right w:w="90" w:type="dxa"/>
            </w:tcMar>
            <w:vAlign w:val="center"/>
          </w:tcPr>
          <w:p>
            <w:r>
              <w:rPr>
                <w:rFonts w:ascii="Arial" w:hAnsi="Arial"/>
                <w:sz w:val="16"/>
              </w:rPr>
              <w:t>Vergütung</w:t>
            </w:r>
          </w:p>
        </w:tc>
        <w:tc>
          <w:tcPr>
            <w:tcW w:type="dxa" w:w="1928"/>
            <w:tcMar>
              <w:top w:w="90" w:type="dxa"/>
              <w:left w:w="90" w:type="dxa"/>
              <w:bottom w:w="90" w:type="dxa"/>
              <w:right w:w="90" w:type="dxa"/>
            </w:tcMar>
            <w:vAlign w:val="center"/>
          </w:tcPr>
          <w:p>
            <w:r>
              <w:rPr>
                <w:rFonts w:ascii="Arial" w:hAnsi="Arial"/>
                <w:sz w:val="16"/>
              </w:rPr>
              <w:t>monatliche Pauschale 3200 Euro zuzüglich Umsatzsteuer</w:t>
            </w:r>
          </w:p>
        </w:tc>
        <w:tc>
          <w:tcPr>
            <w:tcW w:type="dxa" w:w="2835"/>
            <w:tcMar>
              <w:top w:w="90" w:type="dxa"/>
              <w:left w:w="90" w:type="dxa"/>
              <w:bottom w:w="90" w:type="dxa"/>
              <w:right w:w="90" w:type="dxa"/>
            </w:tcMar>
            <w:vAlign w:val="center"/>
          </w:tcPr>
          <w:p>
            <w:r>
              <w:rPr>
                <w:rFonts w:ascii="Arial" w:hAnsi="Arial"/>
                <w:sz w:val="16"/>
              </w:rPr>
              <w:t>gleichbleibende Zahlung auch bei Urlaub; einzelne Zusatzrechnungen</w:t>
            </w:r>
          </w:p>
        </w:tc>
        <w:tc>
          <w:tcPr>
            <w:tcW w:type="dxa" w:w="2948"/>
            <w:tcMar>
              <w:top w:w="90" w:type="dxa"/>
              <w:left w:w="90" w:type="dxa"/>
              <w:bottom w:w="90" w:type="dxa"/>
              <w:right w:w="90" w:type="dxa"/>
            </w:tcMar>
            <w:vAlign w:val="center"/>
          </w:tcPr>
          <w:p>
            <w:r>
              <w:rPr>
                <w:rFonts w:ascii="Arial" w:hAnsi="Arial"/>
                <w:sz w:val="16"/>
              </w:rPr>
              <w:t>Rechnungen und Kontoauszüge 2022 bis 2026</w:t>
            </w:r>
          </w:p>
        </w:tc>
      </w:tr>
      <w:tr>
        <w:tc>
          <w:tcPr>
            <w:tcW w:type="dxa" w:w="1361"/>
            <w:shd w:fill="F4F6F7"/>
            <w:tcMar>
              <w:top w:w="90" w:type="dxa"/>
              <w:left w:w="90" w:type="dxa"/>
              <w:bottom w:w="90" w:type="dxa"/>
              <w:right w:w="90" w:type="dxa"/>
            </w:tcMar>
            <w:vAlign w:val="center"/>
          </w:tcPr>
          <w:p>
            <w:r>
              <w:rPr>
                <w:rFonts w:ascii="Arial" w:hAnsi="Arial"/>
                <w:sz w:val="16"/>
              </w:rPr>
              <w:t>Vertretung</w:t>
            </w:r>
          </w:p>
        </w:tc>
        <w:tc>
          <w:tcPr>
            <w:tcW w:type="dxa" w:w="1928"/>
            <w:shd w:fill="F4F6F7"/>
            <w:tcMar>
              <w:top w:w="90" w:type="dxa"/>
              <w:left w:w="90" w:type="dxa"/>
              <w:bottom w:w="90" w:type="dxa"/>
              <w:right w:w="90" w:type="dxa"/>
            </w:tcMar>
            <w:vAlign w:val="center"/>
          </w:tcPr>
          <w:p>
            <w:r>
              <w:rPr>
                <w:rFonts w:ascii="Arial" w:hAnsi="Arial"/>
                <w:sz w:val="16"/>
              </w:rPr>
              <w:t>Einsatz Dritter zulässig</w:t>
            </w:r>
          </w:p>
        </w:tc>
        <w:tc>
          <w:tcPr>
            <w:tcW w:type="dxa" w:w="2835"/>
            <w:shd w:fill="F4F6F7"/>
            <w:tcMar>
              <w:top w:w="90" w:type="dxa"/>
              <w:left w:w="90" w:type="dxa"/>
              <w:bottom w:w="90" w:type="dxa"/>
              <w:right w:w="90" w:type="dxa"/>
            </w:tcMar>
            <w:vAlign w:val="center"/>
          </w:tcPr>
          <w:p>
            <w:r>
              <w:rPr>
                <w:rFonts w:ascii="Arial" w:hAnsi="Arial"/>
                <w:sz w:val="16"/>
              </w:rPr>
              <w:t>bisher keine Vertretung; Mutter übernahm bei Krankheit einzelne Kassenlisten</w:t>
            </w:r>
          </w:p>
        </w:tc>
        <w:tc>
          <w:tcPr>
            <w:tcW w:type="dxa" w:w="2948"/>
            <w:shd w:fill="F4F6F7"/>
            <w:tcMar>
              <w:top w:w="90" w:type="dxa"/>
              <w:left w:w="90" w:type="dxa"/>
              <w:bottom w:w="90" w:type="dxa"/>
              <w:right w:w="90" w:type="dxa"/>
            </w:tcMar>
            <w:vAlign w:val="center"/>
          </w:tcPr>
          <w:p>
            <w:r>
              <w:rPr>
                <w:rFonts w:ascii="Arial" w:hAnsi="Arial"/>
                <w:sz w:val="16"/>
              </w:rPr>
              <w:t>Krankheitswoche November 2024 aufklären</w:t>
            </w:r>
          </w:p>
        </w:tc>
      </w:tr>
      <w:tr>
        <w:tc>
          <w:tcPr>
            <w:tcW w:type="dxa" w:w="1361"/>
            <w:tcMar>
              <w:top w:w="90" w:type="dxa"/>
              <w:left w:w="90" w:type="dxa"/>
              <w:bottom w:w="90" w:type="dxa"/>
              <w:right w:w="90" w:type="dxa"/>
            </w:tcMar>
            <w:vAlign w:val="center"/>
          </w:tcPr>
          <w:p>
            <w:r>
              <w:rPr>
                <w:rFonts w:ascii="Arial" w:hAnsi="Arial"/>
                <w:sz w:val="16"/>
              </w:rPr>
              <w:t>Fremdkunden</w:t>
            </w:r>
          </w:p>
        </w:tc>
        <w:tc>
          <w:tcPr>
            <w:tcW w:type="dxa" w:w="1928"/>
            <w:tcMar>
              <w:top w:w="90" w:type="dxa"/>
              <w:left w:w="90" w:type="dxa"/>
              <w:bottom w:w="90" w:type="dxa"/>
              <w:right w:w="90" w:type="dxa"/>
            </w:tcMar>
            <w:vAlign w:val="center"/>
          </w:tcPr>
          <w:p>
            <w:r>
              <w:rPr>
                <w:rFonts w:ascii="Arial" w:hAnsi="Arial"/>
                <w:sz w:val="16"/>
              </w:rPr>
              <w:t>eigener Marktauftritt</w:t>
            </w:r>
          </w:p>
        </w:tc>
        <w:tc>
          <w:tcPr>
            <w:tcW w:type="dxa" w:w="2835"/>
            <w:tcMar>
              <w:top w:w="90" w:type="dxa"/>
              <w:left w:w="90" w:type="dxa"/>
              <w:bottom w:w="90" w:type="dxa"/>
              <w:right w:w="90" w:type="dxa"/>
            </w:tcMar>
            <w:vAlign w:val="center"/>
          </w:tcPr>
          <w:p>
            <w:r>
              <w:rPr>
                <w:rFonts w:ascii="Arial" w:hAnsi="Arial"/>
                <w:sz w:val="16"/>
              </w:rPr>
              <w:t>Friseursalon Elbe und Hofladen Rottmann mit kleinen Quartalsaufträgen</w:t>
            </w:r>
          </w:p>
        </w:tc>
        <w:tc>
          <w:tcPr>
            <w:tcW w:type="dxa" w:w="2948"/>
            <w:tcMar>
              <w:top w:w="90" w:type="dxa"/>
              <w:left w:w="90" w:type="dxa"/>
              <w:bottom w:w="90" w:type="dxa"/>
              <w:right w:w="90" w:type="dxa"/>
            </w:tcMar>
            <w:vAlign w:val="center"/>
          </w:tcPr>
          <w:p>
            <w:r>
              <w:rPr>
                <w:rFonts w:ascii="Arial" w:hAnsi="Arial"/>
                <w:sz w:val="16"/>
              </w:rPr>
              <w:t>Verträge, Rechnungen, Kalender und Zahlungsnachweise</w:t>
            </w:r>
          </w:p>
        </w:tc>
      </w:tr>
      <w:tr>
        <w:tc>
          <w:tcPr>
            <w:tcW w:type="dxa" w:w="1361"/>
            <w:shd w:fill="F4F6F7"/>
            <w:tcMar>
              <w:top w:w="90" w:type="dxa"/>
              <w:left w:w="90" w:type="dxa"/>
              <w:bottom w:w="90" w:type="dxa"/>
              <w:right w:w="90" w:type="dxa"/>
            </w:tcMar>
            <w:vAlign w:val="center"/>
          </w:tcPr>
          <w:p>
            <w:r>
              <w:rPr>
                <w:rFonts w:ascii="Arial" w:hAnsi="Arial"/>
                <w:sz w:val="16"/>
              </w:rPr>
              <w:t>Betriebsmittel</w:t>
            </w:r>
          </w:p>
        </w:tc>
        <w:tc>
          <w:tcPr>
            <w:tcW w:type="dxa" w:w="1928"/>
            <w:shd w:fill="F4F6F7"/>
            <w:tcMar>
              <w:top w:w="90" w:type="dxa"/>
              <w:left w:w="90" w:type="dxa"/>
              <w:bottom w:w="90" w:type="dxa"/>
              <w:right w:w="90" w:type="dxa"/>
            </w:tcMar>
            <w:vAlign w:val="center"/>
          </w:tcPr>
          <w:p>
            <w:r>
              <w:rPr>
                <w:rFonts w:ascii="Arial" w:hAnsi="Arial"/>
                <w:sz w:val="16"/>
              </w:rPr>
              <w:t>eigener Laptop und Software</w:t>
            </w:r>
          </w:p>
        </w:tc>
        <w:tc>
          <w:tcPr>
            <w:tcW w:type="dxa" w:w="2835"/>
            <w:shd w:fill="F4F6F7"/>
            <w:tcMar>
              <w:top w:w="90" w:type="dxa"/>
              <w:left w:w="90" w:type="dxa"/>
              <w:bottom w:w="90" w:type="dxa"/>
              <w:right w:w="90" w:type="dxa"/>
            </w:tcMar>
            <w:vAlign w:val="center"/>
          </w:tcPr>
          <w:p>
            <w:r>
              <w:rPr>
                <w:rFonts w:ascii="Arial" w:hAnsi="Arial"/>
                <w:sz w:val="16"/>
              </w:rPr>
              <w:t>Bäckerei-Mail, Büro, Kassenzugang; eigener Laptop für Auswertung</w:t>
            </w:r>
          </w:p>
        </w:tc>
        <w:tc>
          <w:tcPr>
            <w:tcW w:type="dxa" w:w="2948"/>
            <w:shd w:fill="F4F6F7"/>
            <w:tcMar>
              <w:top w:w="90" w:type="dxa"/>
              <w:left w:w="90" w:type="dxa"/>
              <w:bottom w:w="90" w:type="dxa"/>
              <w:right w:w="90" w:type="dxa"/>
            </w:tcMar>
            <w:vAlign w:val="center"/>
          </w:tcPr>
          <w:p>
            <w:r>
              <w:rPr>
                <w:rFonts w:ascii="Arial" w:hAnsi="Arial"/>
                <w:sz w:val="16"/>
              </w:rPr>
              <w:t>Lizenzrechnungen und Gerätezuordnung</w:t>
            </w:r>
          </w:p>
        </w:tc>
      </w:tr>
      <w:tr>
        <w:tc>
          <w:tcPr>
            <w:tcW w:type="dxa" w:w="1361"/>
            <w:tcMar>
              <w:top w:w="90" w:type="dxa"/>
              <w:left w:w="90" w:type="dxa"/>
              <w:bottom w:w="90" w:type="dxa"/>
              <w:right w:w="90" w:type="dxa"/>
            </w:tcMar>
            <w:vAlign w:val="center"/>
          </w:tcPr>
          <w:p>
            <w:r>
              <w:rPr>
                <w:rFonts w:ascii="Arial" w:hAnsi="Arial"/>
                <w:sz w:val="16"/>
              </w:rPr>
              <w:t>Unternehmerrisiko</w:t>
            </w:r>
          </w:p>
        </w:tc>
        <w:tc>
          <w:tcPr>
            <w:tcW w:type="dxa" w:w="1928"/>
            <w:tcMar>
              <w:top w:w="90" w:type="dxa"/>
              <w:left w:w="90" w:type="dxa"/>
              <w:bottom w:w="90" w:type="dxa"/>
              <w:right w:w="90" w:type="dxa"/>
            </w:tcMar>
            <w:vAlign w:val="center"/>
          </w:tcPr>
          <w:p>
            <w:r>
              <w:rPr>
                <w:rFonts w:ascii="Arial" w:hAnsi="Arial"/>
                <w:sz w:val="16"/>
              </w:rPr>
              <w:t>eigene Kosten und Haftung</w:t>
            </w:r>
          </w:p>
        </w:tc>
        <w:tc>
          <w:tcPr>
            <w:tcW w:type="dxa" w:w="2835"/>
            <w:tcMar>
              <w:top w:w="90" w:type="dxa"/>
              <w:left w:w="90" w:type="dxa"/>
              <w:bottom w:w="90" w:type="dxa"/>
              <w:right w:w="90" w:type="dxa"/>
            </w:tcMar>
            <w:vAlign w:val="center"/>
          </w:tcPr>
          <w:p>
            <w:r>
              <w:rPr>
                <w:rFonts w:ascii="Arial" w:hAnsi="Arial"/>
                <w:sz w:val="16"/>
              </w:rPr>
              <w:t>Berufshaftpflicht und Steuerberaterkosten; keine erfolgsabhängige Vergütung</w:t>
            </w:r>
          </w:p>
        </w:tc>
        <w:tc>
          <w:tcPr>
            <w:tcW w:type="dxa" w:w="2948"/>
            <w:tcMar>
              <w:top w:w="90" w:type="dxa"/>
              <w:left w:w="90" w:type="dxa"/>
              <w:bottom w:w="90" w:type="dxa"/>
              <w:right w:w="90" w:type="dxa"/>
            </w:tcMar>
            <w:vAlign w:val="center"/>
          </w:tcPr>
          <w:p>
            <w:r>
              <w:rPr>
                <w:rFonts w:ascii="Arial" w:hAnsi="Arial"/>
                <w:sz w:val="16"/>
              </w:rPr>
              <w:t>Versicherungsschein, Kostenjournal, Nachbesserungsfälle</w:t>
            </w:r>
          </w:p>
        </w:tc>
      </w:tr>
      <w:tr>
        <w:tc>
          <w:tcPr>
            <w:tcW w:type="dxa" w:w="1361"/>
            <w:shd w:fill="F4F6F7"/>
            <w:tcMar>
              <w:top w:w="90" w:type="dxa"/>
              <w:left w:w="90" w:type="dxa"/>
              <w:bottom w:w="90" w:type="dxa"/>
              <w:right w:w="90" w:type="dxa"/>
            </w:tcMar>
            <w:vAlign w:val="center"/>
          </w:tcPr>
          <w:p>
            <w:r>
              <w:rPr>
                <w:rFonts w:ascii="Arial" w:hAnsi="Arial"/>
                <w:sz w:val="16"/>
              </w:rPr>
              <w:t>Familienabrede</w:t>
            </w:r>
          </w:p>
        </w:tc>
        <w:tc>
          <w:tcPr>
            <w:tcW w:type="dxa" w:w="1928"/>
            <w:shd w:fill="F4F6F7"/>
            <w:tcMar>
              <w:top w:w="90" w:type="dxa"/>
              <w:left w:w="90" w:type="dxa"/>
              <w:bottom w:w="90" w:type="dxa"/>
              <w:right w:w="90" w:type="dxa"/>
            </w:tcMar>
            <w:vAlign w:val="center"/>
          </w:tcPr>
          <w:p>
            <w:r>
              <w:rPr>
                <w:rFonts w:ascii="Arial" w:hAnsi="Arial"/>
                <w:sz w:val="16"/>
              </w:rPr>
              <w:t>schriftlicher Dienstleistungsvertrag</w:t>
            </w:r>
          </w:p>
        </w:tc>
        <w:tc>
          <w:tcPr>
            <w:tcW w:type="dxa" w:w="2835"/>
            <w:shd w:fill="F4F6F7"/>
            <w:tcMar>
              <w:top w:w="90" w:type="dxa"/>
              <w:left w:w="90" w:type="dxa"/>
              <w:bottom w:w="90" w:type="dxa"/>
              <w:right w:w="90" w:type="dxa"/>
            </w:tcMar>
            <w:vAlign w:val="center"/>
          </w:tcPr>
          <w:p>
            <w:r>
              <w:rPr>
                <w:rFonts w:ascii="Arial" w:hAnsi="Arial"/>
                <w:sz w:val="16"/>
              </w:rPr>
              <w:t>Personalfragen häufig mit den Eltern abgestimmt</w:t>
            </w:r>
          </w:p>
        </w:tc>
        <w:tc>
          <w:tcPr>
            <w:tcW w:type="dxa" w:w="2948"/>
            <w:shd w:fill="F4F6F7"/>
            <w:tcMar>
              <w:top w:w="90" w:type="dxa"/>
              <w:left w:w="90" w:type="dxa"/>
              <w:bottom w:w="90" w:type="dxa"/>
              <w:right w:w="90" w:type="dxa"/>
            </w:tcMar>
            <w:vAlign w:val="center"/>
          </w:tcPr>
          <w:p>
            <w:r>
              <w:rPr>
                <w:rFonts w:ascii="Arial" w:hAnsi="Arial"/>
                <w:sz w:val="16"/>
              </w:rPr>
              <w:t>E-Mail-Verläufe und Zeugen ohne nachträgliche Vereinheitlichung</w:t>
            </w:r>
          </w:p>
        </w:tc>
      </w:tr>
    </w:tbl>
    <w:p>
      <w:pPr>
        <w:spacing w:after="20"/>
      </w:pPr>
    </w:p>
    <w:p>
      <w:pPr>
        <w:pStyle w:val="Heading1"/>
      </w:pPr>
      <w:r>
        <w:t>2. Noch durchzuführende Tatsachenklärung</w:t>
      </w:r>
    </w:p>
    <w:p>
      <w:r>
        <w:t>Nora Kleinschmidt soll für vier repräsentative Wochen aus 2022, 2024 und 2026 einen Kalenderexport liefern. Rolf und Mechthild Kleinschmidt schildern getrennt, wer Urlaubsentscheidungen traf und bei Kassendifferenzen Weisungen erteilte. Die Fremdkunden werden nur anhand vorhandener Rechnungen und Zahlungsnachweise erfasst.</w:t>
      </w:r>
    </w:p>
    <w:p>
      <w:r>
        <w:t>Abweichungen zwischen Vertrag und Praxis werden zeitlich zugeordnet. Nachträgliche Vertragsformulierungen oder pauschale Familienerklärungen werden nicht als Ersatz für ursprüngliche Belege verwendet.</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KNÜPPEL &amp; PARTNER RENTENBERATUNG · BK-LU/2026-118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indizienmatrix familienbetrieb</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