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2C5B4D"/>
            </w:tcBorders>
          </w:tcPr>
          <w:p>
            <w:pPr>
              <w:spacing w:after="40"/>
            </w:pPr>
            <w:r>
              <w:rPr>
                <w:rFonts w:ascii="Arial" w:hAnsi="Arial"/>
                <w:b/>
                <w:i w:val="0"/>
                <w:color w:val="2C5B4D"/>
                <w:sz w:val="30"/>
              </w:rPr>
              <w:t>Dr. Meißner · Rupprecht Rechtsanwälte</w:t>
            </w:r>
          </w:p>
          <w:p>
            <w:pPr>
              <w:spacing w:after="0"/>
            </w:pPr>
            <w:r>
              <w:rPr>
                <w:rFonts w:ascii="Arial" w:hAnsi="Arial"/>
                <w:b w:val="0"/>
                <w:i w:val="0"/>
                <w:color w:val="58626C"/>
                <w:sz w:val="17"/>
              </w:rPr>
              <w:t>Karl-Liebknecht-Straße 8 · 10178 Berlin</w:t>
            </w:r>
          </w:p>
          <w:p>
            <w:pPr>
              <w:spacing w:after="0"/>
            </w:pPr>
            <w:r>
              <w:rPr>
                <w:rFonts w:ascii="Arial" w:hAnsi="Arial"/>
                <w:b w:val="0"/>
                <w:i w:val="0"/>
                <w:color w:val="58626C"/>
                <w:sz w:val="17"/>
              </w:rPr>
              <w:t>Telefon 030 2096640 · Fax 030 20966429 · post@meissner-rupprecht.de</w:t>
            </w:r>
          </w:p>
          <w:p>
            <w:pPr>
              <w:spacing w:after="0"/>
            </w:pPr>
            <w:r>
              <w:rPr>
                <w:rFonts w:ascii="Arial" w:hAnsi="Arial"/>
                <w:b w:val="0"/>
                <w:i w:val="0"/>
                <w:color w:val="58626C"/>
                <w:sz w:val="17"/>
              </w:rPr>
              <w:t>Partnerschaftsregister AG Charlottenburg PR 1638 B</w:t>
            </w:r>
          </w:p>
        </w:tc>
        <w:tc>
          <w:tcPr>
            <w:tcW w:type="dxa" w:w="3798"/>
            <w:vAlign w:val="center"/>
            <w:tcMar>
              <w:top w:w="100" w:type="dxa"/>
              <w:start w:w="120" w:type="dxa"/>
              <w:bottom w:w="100" w:type="dxa"/>
              <w:end w:w="120" w:type="dxa"/>
            </w:tcMar>
            <w:tcBorders>
              <w:bottom w:val="single" w:sz="10" w:color="2C5B4D"/>
            </w:tcBorders>
          </w:tcPr>
          <w:p>
            <w:pPr>
              <w:spacing w:after="0"/>
              <w:jc w:val="right"/>
            </w:pPr>
            <w:r>
              <w:rPr>
                <w:rFonts w:ascii="Arial" w:hAnsi="Arial"/>
                <w:b/>
                <w:i w:val="0"/>
                <w:color w:val="2C5B4D"/>
                <w:sz w:val="18"/>
              </w:rPr>
              <w:t>PB/312-26/MR</w:t>
            </w:r>
          </w:p>
        </w:tc>
      </w:tr>
    </w:tbl>
    <w:p>
      <w:pPr>
        <w:spacing w:after="20"/>
      </w:pPr>
    </w:p>
    <w:p>
      <w:pPr>
        <w:spacing w:before="140" w:after="0"/>
      </w:pPr>
      <w:r>
        <w:rPr>
          <w:rFonts w:ascii="Arial" w:hAnsi="Arial"/>
          <w:b w:val="0"/>
          <w:i w:val="0"/>
          <w:color w:val="222E3A"/>
          <w:sz w:val="20"/>
        </w:rPr>
        <w:t>Vorab per E-Mail</w:t>
      </w:r>
      <w:r>
        <w:br/>
      </w:r>
      <w:r>
        <w:rPr>
          <w:rFonts w:ascii="Arial" w:hAnsi="Arial"/>
          <w:b w:val="0"/>
          <w:i w:val="0"/>
          <w:color w:val="222E3A"/>
          <w:sz w:val="20"/>
        </w:rPr>
        <w:t>Lilienfeld Fachverlag GmbH</w:t>
      </w:r>
      <w:r>
        <w:br/>
      </w:r>
      <w:r>
        <w:rPr>
          <w:rFonts w:ascii="Arial" w:hAnsi="Arial"/>
          <w:b w:val="0"/>
          <w:i w:val="0"/>
          <w:color w:val="222E3A"/>
          <w:sz w:val="20"/>
        </w:rPr>
        <w:t>z. Hd. Geschäftsführerin Sabine Lilienfeld</w:t>
      </w:r>
      <w:r>
        <w:br/>
      </w:r>
      <w:r>
        <w:rPr>
          <w:rFonts w:ascii="Arial" w:hAnsi="Arial"/>
          <w:b w:val="0"/>
          <w:i w:val="0"/>
          <w:color w:val="222E3A"/>
          <w:sz w:val="20"/>
        </w:rPr>
        <w:t>Gutenbergstraße 24</w:t>
      </w:r>
      <w:r>
        <w:br/>
      </w:r>
      <w:r>
        <w:rPr>
          <w:rFonts w:ascii="Arial" w:hAnsi="Arial"/>
          <w:b w:val="0"/>
          <w:i w:val="0"/>
          <w:color w:val="222E3A"/>
          <w:sz w:val="20"/>
        </w:rPr>
        <w:t>04103 Leipzig</w:t>
      </w: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5. Mai 2026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Unser Zeichen</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PB/312-26/MR</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Sachbearbeitung</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Rechtsanwältin Friederike Rupprecht</w:t>
            </w:r>
          </w:p>
        </w:tc>
      </w:tr>
    </w:tbl>
    <w:p>
      <w:pPr>
        <w:spacing w:after="0"/>
      </w:pPr>
    </w:p>
    <w:p>
      <w:pPr>
        <w:spacing w:before="160" w:after="180"/>
      </w:pPr>
      <w:r>
        <w:rPr>
          <w:rFonts w:ascii="Arial" w:hAnsi="Arial"/>
          <w:b/>
          <w:i w:val="0"/>
          <w:color w:val="2C5B4D"/>
          <w:sz w:val="24"/>
        </w:rPr>
        <w:t>Preisangebote zum Titel „Praxis der kommunalen Wärmewende“, ISBN 978-3-947821-63-4</w:t>
      </w:r>
    </w:p>
    <w:p>
      <w:pPr>
        <w:widowControl/>
      </w:pPr>
      <w:r>
        <w:rPr>
          <w:rFonts w:ascii="Arial" w:hAnsi="Arial"/>
          <w:b w:val="0"/>
          <w:i w:val="0"/>
          <w:color w:val="222E3A"/>
          <w:sz w:val="21"/>
        </w:rPr>
        <w:t>Sehr geehrte Frau Lilienfeld,</w:t>
      </w:r>
    </w:p>
    <w:p>
      <w:pPr>
        <w:widowControl/>
      </w:pPr>
      <w:r>
        <w:rPr>
          <w:rFonts w:ascii="Arial" w:hAnsi="Arial"/>
          <w:b w:val="0"/>
          <w:i w:val="0"/>
          <w:color w:val="222E3A"/>
          <w:sz w:val="21"/>
        </w:rPr>
        <w:t>wir vertreten die Buchhandlung Lesezeichen am Markt GmbH, Markt 12, 99084 Erfurt. Unsere Mandantin vertreibt den oben bezeichneten Titel zum gemeldeten Ladenpreis von 128,00 Euro.</w:t>
      </w:r>
    </w:p>
    <w:p>
      <w:pPr>
        <w:pStyle w:val="Heading1"/>
      </w:pPr>
      <w:r>
        <w:t>1. Festgestellte Angebote</w:t>
      </w:r>
    </w:p>
    <w:p>
      <w:pPr>
        <w:widowControl/>
      </w:pPr>
      <w:r>
        <w:rPr>
          <w:rFonts w:ascii="Arial" w:hAnsi="Arial"/>
          <w:b w:val="0"/>
          <w:i w:val="0"/>
          <w:color w:val="222E3A"/>
          <w:sz w:val="21"/>
        </w:rPr>
        <w:t>Am 22. April 2026 um 16:42 Uhr war im Internetangebot der Remittenda Handelsgesellschaft mbH ein als „Mängelexemplar“ bezeichnetes Exemplar für 69,00 Euro zuzüglich 3,90 Euro Versand abrufbar. Am 24. April 2026 um 09:18 Uhr wurden dort noch 47 sofort lieferbare Exemplare angezeigt.</w:t>
      </w:r>
    </w:p>
    <w:p>
      <w:pPr>
        <w:widowControl/>
      </w:pPr>
      <w:r>
        <w:rPr>
          <w:rFonts w:ascii="Arial" w:hAnsi="Arial"/>
          <w:b w:val="0"/>
          <w:i w:val="0"/>
          <w:color w:val="222E3A"/>
          <w:sz w:val="21"/>
        </w:rPr>
        <w:t>Daneben bewarb Ihr Verlag vom 10. bis 24. April 2026 das Paket „Frühjahrsfenster PraxisPlus“ für 139,00 Euro. Nach der Produktbeschreibung umfasste das Paket ein Printbuch und einen zwölfmonatigen Datenbankzugang. In Ihrem Produktstammblatt vom 2. März 2026 ist für das Paket PraxisPlus ein Endpreis von 169,00 Euro ausgewiesen.</w:t>
      </w:r>
    </w:p>
    <w:p>
      <w:pPr>
        <w:pStyle w:val="Heading1"/>
      </w:pPr>
      <w:r>
        <w:t>2. Dokumentation</w:t>
      </w:r>
    </w:p>
    <w:tbl>
      <w:tblPr>
        <w:tblStyle w:val="TableGrid"/>
        <w:tblW w:type="auto" w:w="0"/>
        <w:jc w:val="left"/>
        <w:tblLayout w:type="fixed"/>
        <w:tblLook w:firstColumn="1" w:firstRow="1" w:lastColumn="0" w:lastRow="0" w:noHBand="0" w:noVBand="1" w:val="04A0"/>
      </w:tblPr>
      <w:tblGrid>
        <w:gridCol w:w="3118"/>
        <w:gridCol w:w="3118"/>
        <w:gridCol w:w="3118"/>
      </w:tblGrid>
      <w:tr>
        <w:tc>
          <w:tcPr>
            <w:tcW w:type="dxa" w:w="2268"/>
            <w:vAlign w:val="center"/>
            <w:tcMar>
              <w:top w:w="100" w:type="dxa"/>
              <w:start w:w="120" w:type="dxa"/>
              <w:bottom w:w="100" w:type="dxa"/>
              <w:end w:w="120" w:type="dxa"/>
            </w:tcMar>
            <w:shd w:fill="F2F4F5"/>
          </w:tcPr>
          <w:p>
            <w:pPr>
              <w:spacing w:after="0"/>
            </w:pPr>
            <w:r>
              <w:rPr>
                <w:rFonts w:ascii="Arial" w:hAnsi="Arial"/>
                <w:b/>
                <w:i w:val="0"/>
                <w:color w:val="2C5B4D"/>
                <w:sz w:val="17"/>
              </w:rPr>
              <w:t>Zeitpunkt</w:t>
            </w:r>
          </w:p>
        </w:tc>
        <w:tc>
          <w:tcPr>
            <w:tcW w:type="dxa" w:w="4082"/>
            <w:vAlign w:val="center"/>
            <w:tcMar>
              <w:top w:w="100" w:type="dxa"/>
              <w:start w:w="120" w:type="dxa"/>
              <w:bottom w:w="100" w:type="dxa"/>
              <w:end w:w="120" w:type="dxa"/>
            </w:tcMar>
            <w:shd w:fill="F2F4F5"/>
          </w:tcPr>
          <w:p>
            <w:pPr>
              <w:spacing w:after="0"/>
            </w:pPr>
            <w:r>
              <w:rPr>
                <w:rFonts w:ascii="Arial" w:hAnsi="Arial"/>
                <w:b/>
                <w:i w:val="0"/>
                <w:color w:val="2C5B4D"/>
                <w:sz w:val="17"/>
              </w:rPr>
              <w:t>Internetadresse</w:t>
            </w:r>
          </w:p>
        </w:tc>
        <w:tc>
          <w:tcPr>
            <w:tcW w:type="dxa" w:w="3005"/>
            <w:vAlign w:val="center"/>
            <w:tcMar>
              <w:top w:w="100" w:type="dxa"/>
              <w:start w:w="120" w:type="dxa"/>
              <w:bottom w:w="100" w:type="dxa"/>
              <w:end w:w="120" w:type="dxa"/>
            </w:tcMar>
            <w:shd w:fill="F2F4F5"/>
          </w:tcPr>
          <w:p>
            <w:pPr>
              <w:spacing w:after="0"/>
            </w:pPr>
            <w:r>
              <w:rPr>
                <w:rFonts w:ascii="Arial" w:hAnsi="Arial"/>
                <w:b/>
                <w:i w:val="0"/>
                <w:color w:val="2C5B4D"/>
                <w:sz w:val="17"/>
              </w:rPr>
              <w:t>Anzeige</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22.04.2026, 16:42 Uhr</w:t>
            </w:r>
          </w:p>
        </w:tc>
        <w:tc>
          <w:tcPr>
            <w:tcW w:type="dxa" w:w="4082"/>
            <w:vAlign w:val="center"/>
            <w:tcMar>
              <w:top w:w="100" w:type="dxa"/>
              <w:start w:w="120" w:type="dxa"/>
              <w:bottom w:w="100" w:type="dxa"/>
              <w:end w:w="120" w:type="dxa"/>
            </w:tcMar>
          </w:tcPr>
          <w:p>
            <w:pPr>
              <w:spacing w:after="0"/>
            </w:pPr>
            <w:r>
              <w:rPr>
                <w:rFonts w:ascii="Arial" w:hAnsi="Arial"/>
                <w:b w:val="0"/>
                <w:i w:val="0"/>
                <w:color w:val="222E3A"/>
                <w:sz w:val="17"/>
              </w:rPr>
              <w:t>remittenda-handel.de/waermewende-3</w:t>
            </w:r>
          </w:p>
        </w:tc>
        <w:tc>
          <w:tcPr>
            <w:tcW w:type="dxa" w:w="3005"/>
            <w:vAlign w:val="center"/>
            <w:tcMar>
              <w:top w:w="100" w:type="dxa"/>
              <w:start w:w="120" w:type="dxa"/>
              <w:bottom w:w="100" w:type="dxa"/>
              <w:end w:w="120" w:type="dxa"/>
            </w:tcMar>
          </w:tcPr>
          <w:p>
            <w:pPr>
              <w:spacing w:after="0"/>
            </w:pPr>
            <w:r>
              <w:rPr>
                <w:rFonts w:ascii="Arial" w:hAnsi="Arial"/>
                <w:b w:val="0"/>
                <w:i w:val="0"/>
                <w:color w:val="222E3A"/>
                <w:sz w:val="17"/>
              </w:rPr>
              <w:t>69,00 Euro, 53 Exemplare</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24.04.2026, 09:18 Uhr</w:t>
            </w:r>
          </w:p>
        </w:tc>
        <w:tc>
          <w:tcPr>
            <w:tcW w:type="dxa" w:w="4082"/>
            <w:vAlign w:val="center"/>
            <w:tcMar>
              <w:top w:w="100" w:type="dxa"/>
              <w:start w:w="120" w:type="dxa"/>
              <w:bottom w:w="100" w:type="dxa"/>
              <w:end w:w="120" w:type="dxa"/>
            </w:tcMar>
          </w:tcPr>
          <w:p>
            <w:pPr>
              <w:spacing w:after="0"/>
            </w:pPr>
            <w:r>
              <w:rPr>
                <w:rFonts w:ascii="Arial" w:hAnsi="Arial"/>
                <w:b w:val="0"/>
                <w:i w:val="0"/>
                <w:color w:val="222E3A"/>
                <w:sz w:val="17"/>
              </w:rPr>
              <w:t>remittenda-handel.de/waermewende-3</w:t>
            </w:r>
          </w:p>
        </w:tc>
        <w:tc>
          <w:tcPr>
            <w:tcW w:type="dxa" w:w="3005"/>
            <w:vAlign w:val="center"/>
            <w:tcMar>
              <w:top w:w="100" w:type="dxa"/>
              <w:start w:w="120" w:type="dxa"/>
              <w:bottom w:w="100" w:type="dxa"/>
              <w:end w:w="120" w:type="dxa"/>
            </w:tcMar>
          </w:tcPr>
          <w:p>
            <w:pPr>
              <w:spacing w:after="0"/>
            </w:pPr>
            <w:r>
              <w:rPr>
                <w:rFonts w:ascii="Arial" w:hAnsi="Arial"/>
                <w:b w:val="0"/>
                <w:i w:val="0"/>
                <w:color w:val="222E3A"/>
                <w:sz w:val="17"/>
              </w:rPr>
              <w:t>69,00 Euro, 47 Exemplare</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23.04.2026, 11:06 Uhr</w:t>
            </w:r>
          </w:p>
        </w:tc>
        <w:tc>
          <w:tcPr>
            <w:tcW w:type="dxa" w:w="4082"/>
            <w:vAlign w:val="center"/>
            <w:tcMar>
              <w:top w:w="100" w:type="dxa"/>
              <w:start w:w="120" w:type="dxa"/>
              <w:bottom w:w="100" w:type="dxa"/>
              <w:end w:w="120" w:type="dxa"/>
            </w:tcMar>
          </w:tcPr>
          <w:p>
            <w:pPr>
              <w:spacing w:after="0"/>
            </w:pPr>
            <w:r>
              <w:rPr>
                <w:rFonts w:ascii="Arial" w:hAnsi="Arial"/>
                <w:b w:val="0"/>
                <w:i w:val="0"/>
                <w:color w:val="222E3A"/>
                <w:sz w:val="17"/>
              </w:rPr>
              <w:t>lilienfeld-fachverlag.de/fruehjahrsfenster</w:t>
            </w:r>
          </w:p>
        </w:tc>
        <w:tc>
          <w:tcPr>
            <w:tcW w:type="dxa" w:w="3005"/>
            <w:vAlign w:val="center"/>
            <w:tcMar>
              <w:top w:w="100" w:type="dxa"/>
              <w:start w:w="120" w:type="dxa"/>
              <w:bottom w:w="100" w:type="dxa"/>
              <w:end w:w="120" w:type="dxa"/>
            </w:tcMar>
          </w:tcPr>
          <w:p>
            <w:pPr>
              <w:spacing w:after="0"/>
            </w:pPr>
            <w:r>
              <w:rPr>
                <w:rFonts w:ascii="Arial" w:hAnsi="Arial"/>
                <w:b w:val="0"/>
                <w:i w:val="0"/>
                <w:color w:val="222E3A"/>
                <w:sz w:val="17"/>
              </w:rPr>
              <w:t>PraxisPlus 139,00 Euro</w:t>
            </w:r>
          </w:p>
        </w:tc>
      </w:tr>
    </w:tbl>
    <w:p>
      <w:pPr>
        <w:spacing w:after="20"/>
      </w:pPr>
    </w:p>
    <w:p>
      <w:pPr>
        <w:pStyle w:val="Heading1"/>
      </w:pPr>
      <w:r>
        <w:t>3. Verlangte Erklärungen</w:t>
      </w:r>
    </w:p>
    <w:p>
      <w:pPr>
        <w:widowControl/>
      </w:pPr>
      <w:r>
        <w:rPr>
          <w:rFonts w:ascii="Arial" w:hAnsi="Arial"/>
          <w:b w:val="0"/>
          <w:i w:val="0"/>
          <w:color w:val="222E3A"/>
          <w:sz w:val="21"/>
        </w:rPr>
        <w:t>Wir fordern Ihre Gesellschaft auf, bis 12. Mai 2026, 12:00 Uhr, mitzuteilen, auf welcher Preisfestsetzung das Angebot „Frühjahrsfenster PraxisPlus“ beruhte und an welche Händler die Bezeichnung der 90 aus der Lieferung vom 22. März 2026 stammenden Exemplare als Mängelexemplare übermittelt wurde.</w:t>
      </w:r>
    </w:p>
    <w:p>
      <w:pPr>
        <w:widowControl/>
      </w:pPr>
      <w:r>
        <w:rPr>
          <w:rFonts w:ascii="Arial" w:hAnsi="Arial"/>
          <w:b w:val="0"/>
          <w:i w:val="0"/>
          <w:color w:val="222E3A"/>
          <w:sz w:val="21"/>
        </w:rPr>
        <w:t>Ferner erwarten wir bis zu diesem Zeitpunkt eine Erklärung, dass das Paket nicht erneut zu 139,00 Euro angeboten wird, solange keine entsprechende Preisfestsetzung gemeldet ist, und dass unbeschädigte Exemplare nicht als Mängelexemplare ausgeliefert werden.</w:t>
      </w:r>
    </w:p>
    <w:p>
      <w:pPr>
        <w:pStyle w:val="Heading1"/>
      </w:pPr>
      <w:r>
        <w:t>4. Kosten</w:t>
      </w:r>
    </w:p>
    <w:p>
      <w:pPr>
        <w:widowControl/>
      </w:pPr>
      <w:r>
        <w:rPr>
          <w:rFonts w:ascii="Arial" w:hAnsi="Arial"/>
          <w:b w:val="0"/>
          <w:i w:val="0"/>
          <w:color w:val="222E3A"/>
          <w:sz w:val="21"/>
        </w:rPr>
        <w:t>Für die außergerichtliche Tätigkeit machen wir auf Grundlage eines Gegenstandswerts von 25000,00 Euro einen Betrag von 1375,88 Euro geltend. Die Berechnung ist als Anlage beigefügt. Zahlung erbitten wir bis 19. Mai 2026 auf das dort bezeichnete Kanzleikonto.</w:t>
      </w:r>
    </w:p>
    <w:p>
      <w:pPr>
        <w:widowControl/>
      </w:pPr>
      <w:r>
        <w:rPr>
          <w:rFonts w:ascii="Arial" w:hAnsi="Arial"/>
          <w:b w:val="0"/>
          <w:i w:val="0"/>
          <w:color w:val="222E3A"/>
          <w:sz w:val="21"/>
        </w:rPr>
        <w:t>Sollte die Frist ohne ausreichende Rückmeldung verstreichen, ist unsere Mandantin gehalten, weitere Schritte zu prüfen. Eine Verlängerung kann nur vor Fristablauf und unter Angabe eines konkreten Rückmeldetermins abgestimmt werden.</w:t>
      </w:r>
    </w:p>
    <w:p/>
    <w:p>
      <w:pPr>
        <w:spacing w:after="40"/>
      </w:pPr>
      <w:r>
        <w:rPr>
          <w:rFonts w:ascii="Arial" w:hAnsi="Arial"/>
          <w:b w:val="0"/>
          <w:i w:val="0"/>
          <w:color w:val="222E3A"/>
          <w:sz w:val="21"/>
        </w:rPr>
        <w:t>Mit freundlichen Grüßen</w:t>
      </w:r>
    </w:p>
    <w:p>
      <w:pPr>
        <w:spacing w:after="0"/>
      </w:pPr>
      <w:r>
        <w:rPr>
          <w:rFonts w:ascii="Arial" w:hAnsi="Arial"/>
          <w:b/>
          <w:i w:val="0"/>
          <w:color w:val="222E3A"/>
          <w:sz w:val="19"/>
        </w:rPr>
        <w:t>Friederike Rupprecht</w:t>
      </w:r>
    </w:p>
    <w:p>
      <w:pPr>
        <w:spacing w:after="0"/>
      </w:pPr>
      <w:r>
        <w:rPr>
          <w:rFonts w:ascii="Arial" w:hAnsi="Arial"/>
          <w:b w:val="0"/>
          <w:i w:val="0"/>
          <w:color w:val="222E3A"/>
          <w:sz w:val="19"/>
        </w:rPr>
        <w:t>Rechtsanwältin</w:t>
      </w:r>
    </w:p>
    <w:p>
      <w:pPr>
        <w:widowControl/>
      </w:pPr>
      <w:r>
        <w:rPr>
          <w:rFonts w:ascii="Arial" w:hAnsi="Arial"/>
          <w:b w:val="0"/>
          <w:i/>
          <w:color w:val="222E3A"/>
          <w:sz w:val="21"/>
        </w:rPr>
        <w:t>Anlagen: Ausdrucke der Angebote; Entwurf einer Unterlassungserklärung; Kostenberechnung</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PB/312-26/MR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2C5B4D"/>
        <w:sz w:val="17"/>
      </w:rPr>
      <w:t>ABMAHNSCHREIBEN</w:t>
    </w:r>
    <w:r>
      <w:rPr>
        <w:rFonts w:ascii="Arial" w:hAnsi="Arial"/>
        <w:b w:val="0"/>
        <w:i w:val="0"/>
        <w:color w:val="58626C"/>
        <w:sz w:val="17"/>
      </w:rPr>
      <w:t xml:space="preserve">  |  PB/312-26/MR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2C5B4D"/>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C5B4D"/>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C5B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Abmahnung Preisangebote Wärmewende</dc:title>
  <dc:subject>Geschäftsunterlage</dc:subject>
  <dc:creator>Dr. Meißner · Rupprecht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