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Autorenkommunikation Rückstände</w:t>
      </w:r>
    </w:p>
    <w:p>
      <w:pPr>
        <w:pStyle w:val="Heading2"/>
      </w:pPr>
      <w:r>
        <w:rPr>
          <w:rFonts w:ascii="Times New Roman" w:hAnsi="Times New Roman"/>
        </w:rPr>
        <w:t>Mailentwurf 1: Seidenpfennig</w:t>
      </w:r>
    </w:p>
    <w:p>
      <w:pPr>
        <w:jc w:val="left"/>
      </w:pPr>
      <w:r>
        <w:t>```</w:t>
      </w:r>
    </w:p>
    <w:p>
      <w:pPr>
        <w:jc w:val="left"/>
      </w:pPr>
      <w:r>
        <w:t>Von:      m.klee@mf-fachmedien.de</w:t>
      </w:r>
    </w:p>
    <w:p>
      <w:pPr>
        <w:jc w:val="left"/>
      </w:pPr>
      <w:r>
        <w:t>An:       ada.seidenpfennig@uni-augsburg.de</w:t>
      </w:r>
    </w:p>
    <w:p>
      <w:pPr>
        <w:jc w:val="left"/>
      </w:pPr>
      <w:r>
        <w:t>Cc:       redaktion-jura@mf-fachmedien.de</w:t>
      </w:r>
    </w:p>
    <w:p>
      <w:pPr>
        <w:jc w:val="left"/>
      </w:pPr>
      <w:r>
        <w:t>Betreff:  MFJ 2026/7 -- KI-Vertragsprüfung -- Kürzung und Fußnoten</w:t>
      </w:r>
    </w:p>
    <w:p>
      <w:pPr>
        <w:jc w:val="left"/>
      </w:pPr>
      <w:r>
        <w:t>Datum:    Mo 01.06.2026, 09:34</w:t>
      </w:r>
    </w:p>
    <w:p>
      <w:pPr>
        <w:jc w:val="left"/>
      </w:pPr>
      <w:r>
        <w:t>```</w:t>
      </w:r>
    </w:p>
    <w:p>
      <w:pPr>
        <w:jc w:val="left"/>
      </w:pPr>
      <w:r>
        <w:t>Liebe Frau Professorin Seidenpfennig,</w:t>
      </w:r>
    </w:p>
    <w:p>
      <w:pPr>
        <w:jc w:val="left"/>
      </w:pPr>
      <w:r>
        <w:t>vielen Dank für die neue Fassung. Wir haben gesehen, dass der Beitrag jetzt deutlich an Schärfe gewonnen hat, besonders Abschnitt III zur Haftungsverteilung in KI-gestützten Vertragsprüfungs-Workflows. Zugleich liegen wir mit 28 Seiten deutlich über dem Heftbudget (20 Seiten). Bitte um Rückmeldung, ob wir folgendes tun dürfen:</w:t>
      </w:r>
    </w:p>
    <w:p>
      <w:pPr>
        <w:pStyle w:val="ListNumber"/>
      </w:pPr>
      <w:r>
        <w:t>Kürzung auf 20 Seiten -- Vorschlag: Abschnitt IV.3 ("Vergleich mit US-Praxis") streichen, da im aktuellen Heftkontext nicht tragend. Falls dieser Abschnitt aus einem früheren Gutachten von Ihnen stammt, bitten wir um den dortigen Veröffentlichungsstatus (interne Veröffentlichung? oder Erstveröffentlichung?).</w:t>
      </w:r>
    </w:p>
    <w:p>
      <w:pPr>
        <w:pStyle w:val="ListNumber"/>
      </w:pPr>
      <w:r>
        <w:t>Fußnoten -- Fußnoten 18, 24, 31, 44, 63 enthalten Querverweise ("siehe oben Fn. X") ohne aufgelöste Pinpoints und teils verkürzte Fundstellen, die wir nicht selbst auflösen können (z. B. Fn. 24: "Vgl. dazu Krenz, in: ZIP 2024" -- Seitenzahl fehlt).</w:t>
      </w:r>
    </w:p>
    <w:p>
      <w:pPr>
        <w:pStyle w:val="ListNumber"/>
      </w:pPr>
      <w:r>
        <w:t>Praxisbox -- Vertrieb hätte gerne 5 Bulletpoints "Was Sie aus diesem Beitrag mitnehmen" für die erste Beitragsseite. Wir wissen, dass das nicht Ihrer üblichen Form entspricht; bitte teilen Sie uns mit, ob Sie das mittragen oder ob wir die Box selbst ergänzen sollen.</w:t>
      </w:r>
    </w:p>
    <w:p>
      <w:pPr>
        <w:jc w:val="left"/>
      </w:pPr>
      <w:r>
        <w:t>Außerdem müssen wir offen ansprechen, dass eine Online-first-Veröffentlichung nur mit einer freigegebenen Manuskriptfassung möglich ist. Sollte die Kürzung bis Mittwochabend nicht geklärt sein, werden wir den Beitrag entweder in zwei Teile aufteilen oder in das Folgeheft verschieben. Das vertragliche Rückrufrecht bleibt davon unberührt; aus Verlagssicht möchten wir aber vermeiden, dass eine verspätete Lieferung zu einer rein formalen Auseinandersetzung führt, obwohl der Beitrag inhaltlich wichtig ist.</w:t>
      </w:r>
    </w:p>
    <w:p>
      <w:pPr>
        <w:jc w:val="left"/>
      </w:pPr>
      <w:r>
        <w:t>Beste Grüße</w:t>
      </w:r>
    </w:p>
    <w:p>
      <w:pPr>
        <w:jc w:val="left"/>
      </w:pPr>
      <w:r>
        <w:t>Marlena Klee</w:t>
      </w:r>
    </w:p>
    <w:p/>
    <w:p>
      <w:pPr>
        <w:pStyle w:val="Heading2"/>
      </w:pPr>
      <w:r>
        <w:rPr>
          <w:rFonts w:ascii="Times New Roman" w:hAnsi="Times New Roman"/>
        </w:rPr>
        <w:t>Notizen zur Mail Seidenpfennig</w:t>
      </w:r>
    </w:p>
    <w:p>
      <w:pPr>
        <w:pStyle w:val="ListBullet"/>
      </w:pPr>
      <w:r>
        <w:t>Ton freundlicher, aber konkreter. Sie ist Verlagsautorin in 3. Generation; nicht herablassend formulieren.</w:t>
      </w:r>
    </w:p>
    <w:p>
      <w:pPr>
        <w:pStyle w:val="ListBullet"/>
      </w:pPr>
      <w:r>
        <w:t>Ziel Umfang: 20 Seiten netto, ohne Praxisbox.</w:t>
      </w:r>
    </w:p>
    <w:p>
      <w:pPr>
        <w:pStyle w:val="ListBullet"/>
      </w:pPr>
      <w:r>
        <w:t>Fußnoten 18, 24, 31, 44, 63 sind in der Originaldatei als gelb markiert; das ist die übliche Markierung von Frau Seidenpfennig für "noch nicht final geprüft" -- nicht so tun, als wir hätten das entdeckt.</w:t>
      </w:r>
    </w:p>
    <w:p>
      <w:pPr>
        <w:pStyle w:val="ListBullet"/>
      </w:pPr>
      <w:r>
        <w:t>Bitte klären, ob Abschnitt IV.3 aus einem früheren Gutachten stammt. In den Fußnoten 31-34 stehen Formulierungen, die fast wortgleich aus ihrem Vortrag beim DAV-Forum 2025 zu sein scheinen. Verlag hat dazu keine Schriftfassung. Sensibel formulieren.</w:t>
      </w:r>
    </w:p>
    <w:p>
      <w:pPr>
        <w:pStyle w:val="ListBullet"/>
      </w:pPr>
      <w:r>
        <w:t>Deadline für Rückmeldung: Mittwoch 03.06., 18:00. Danach Druckslot weg.</w:t>
      </w:r>
    </w:p>
    <w:p>
      <w:pPr>
        <w:pStyle w:val="ListBullet"/>
      </w:pPr>
      <w:r>
        <w:t>Frühere Korrespondenz: Frau Seidenpfennig hat im April auf eine ähnliche Mail (Heft 5/2026) erst nach 11 Tagen reagiert. Vertretung Sekretariat Augsburg: Frau Brand-Eichholtz, +49 821 ... .</w:t>
      </w:r>
    </w:p>
    <w:p>
      <w:pPr>
        <w:pStyle w:val="Heading2"/>
      </w:pPr>
      <w:r>
        <w:rPr>
          <w:rFonts w:ascii="Times New Roman" w:hAnsi="Times New Roman"/>
        </w:rPr>
        <w:t>Mailentwurf 2: Rabenau</w:t>
      </w:r>
    </w:p>
    <w:p>
      <w:pPr>
        <w:jc w:val="left"/>
      </w:pPr>
      <w:r>
        <w:t>```</w:t>
      </w:r>
    </w:p>
    <w:p>
      <w:pPr>
        <w:jc w:val="left"/>
      </w:pPr>
      <w:r>
        <w:t>Von:      m.klee@mf-fachmedien.de</w:t>
      </w:r>
    </w:p>
    <w:p>
      <w:pPr>
        <w:jc w:val="left"/>
      </w:pPr>
      <w:r>
        <w:t>An:       benedict.rabenau@rabenau-reumont.de</w:t>
      </w:r>
    </w:p>
    <w:p>
      <w:pPr>
        <w:jc w:val="left"/>
      </w:pPr>
      <w:r>
        <w:t>Betreff:  Rezension Heft 7 -- Screenshot Folie 12 (Rechte)</w:t>
      </w:r>
    </w:p>
    <w:p>
      <w:pPr>
        <w:jc w:val="left"/>
      </w:pPr>
      <w:r>
        <w:t>Datum:    Mo 01.06.2026, 10:08</w:t>
      </w:r>
    </w:p>
    <w:p>
      <w:pPr>
        <w:jc w:val="left"/>
      </w:pPr>
      <w:r>
        <w:t>```</w:t>
      </w:r>
    </w:p>
    <w:p>
      <w:pPr>
        <w:jc w:val="left"/>
      </w:pPr>
      <w:r>
        <w:t>Sehr geehrter Herr Rabenau,</w:t>
      </w:r>
    </w:p>
    <w:p>
      <w:pPr>
        <w:jc w:val="left"/>
      </w:pPr>
      <w:r>
        <w:t>vielen Dank für Ihren Hinweis vom Freitag, dass der Screenshot aus Ihrer Folie 12 "rein darf". Wir möchten den Beitrag fristgerecht in Heft 7 platzieren, müssen aber vor dem Korrekturschluss am Dienstag 12:00 die Bildrechte abschließend klären.</w:t>
      </w:r>
    </w:p>
    <w:p>
      <w:pPr>
        <w:jc w:val="left"/>
      </w:pPr>
      <w:r>
        <w:t>Konkret bitten wir um Information zu drei Punkten:</w:t>
      </w:r>
    </w:p>
    <w:p>
      <w:pPr>
        <w:pStyle w:val="ListNumber"/>
      </w:pPr>
      <w:r>
        <w:t>Ist die abgebildete Folie (insbesondere die eingeblendete Tabelle "Vergleich TDM-Regeln EU/USA/Japan") vollständig von Ihnen erstellt?</w:t>
      </w:r>
    </w:p>
    <w:p>
      <w:pPr>
        <w:pStyle w:val="ListNumber"/>
      </w:pPr>
      <w:r>
        <w:t>Falls die Tabelle ganz oder teilweise aus einer Drittquelle (Konferenzbeitrag, Aufsatz, Behördenpapier, Datenbank) übernommen wurde, bitten wir um diese Quellenangabe und um Nachweis der Nutzungsrechte für die Veröffentlichung in einer Fachzeitschrift (Print + Online).</w:t>
      </w:r>
    </w:p>
    <w:p>
      <w:pPr>
        <w:pStyle w:val="ListNumber"/>
      </w:pPr>
      <w:r>
        <w:t>Das Wasserzeichen "DAV-Forum 2025 -- ohne Genehmigung keine Wiedergabe" am rechten Bildrand wirft für uns eine zusätzliche Frage auf: Gilt diese Genehmigung Ihnen gegenüber, oder müssen wir gesondert beim Veranstalter anfragen?</w:t>
      </w:r>
    </w:p>
    <w:p>
      <w:pPr>
        <w:jc w:val="left"/>
      </w:pPr>
      <w:r>
        <w:t>Falls die Rechtekette an der Folie nicht kurzfristig belegbar ist, schlagen wir eine eigene neutrale MFJ-Grafik vor: drei Spalten “EU”, “USA”, “Japan”, jeweils nur mit selbst formulierten Stichworten und ohne Übernahme fremder Tabellenstruktur. Diese Ersatzgrafik könnte am Dienstagvormittag von Herstellung Aulich gesetzt werden.</w:t>
      </w:r>
    </w:p>
    <w:p>
      <w:pPr>
        <w:jc w:val="left"/>
      </w:pPr>
      <w:r>
        <w:t>Mit freundlichen Grüßen</w:t>
      </w:r>
    </w:p>
    <w:p>
      <w:pPr>
        <w:jc w:val="left"/>
      </w:pPr>
      <w:r>
        <w:t>Marlena Klee</w:t>
      </w:r>
    </w:p>
    <w:p/>
    <w:p>
      <w:pPr>
        <w:pStyle w:val="Heading2"/>
      </w:pPr>
      <w:r>
        <w:rPr>
          <w:rFonts w:ascii="Times New Roman" w:hAnsi="Times New Roman"/>
        </w:rPr>
        <w:t>Mailentwurf 3: Wendt/Krug</w:t>
      </w:r>
    </w:p>
    <w:p>
      <w:pPr>
        <w:jc w:val="left"/>
      </w:pPr>
      <w:r>
        <w:t>```</w:t>
      </w:r>
    </w:p>
    <w:p>
      <w:pPr>
        <w:jc w:val="left"/>
      </w:pPr>
      <w:r>
        <w:t>Von:      m.klee@mf-fachmedien.de</w:t>
      </w:r>
    </w:p>
    <w:p>
      <w:pPr>
        <w:jc w:val="left"/>
      </w:pPr>
      <w:r>
        <w:t>An:       wendt@bucerius-law-school.de, krug@bucerius-law-school.de</w:t>
      </w:r>
    </w:p>
    <w:p>
      <w:pPr>
        <w:jc w:val="left"/>
      </w:pPr>
      <w:r>
        <w:t>Betreff:  Kommentarupdate § 38 UrhG -- Rückfragen</w:t>
      </w:r>
    </w:p>
    <w:p>
      <w:pPr>
        <w:jc w:val="left"/>
      </w:pPr>
      <w:r>
        <w:t>Datum:    Mo 01.06.2026, 11:22</w:t>
      </w:r>
    </w:p>
    <w:p>
      <w:pPr>
        <w:jc w:val="left"/>
      </w:pPr>
      <w:r>
        <w:t>```</w:t>
      </w:r>
    </w:p>
    <w:p>
      <w:pPr>
        <w:jc w:val="left"/>
      </w:pPr>
      <w:r>
        <w:t>Liebe Frau Wendt, lieber Herr Krug,</w:t>
      </w:r>
    </w:p>
    <w:p>
      <w:pPr>
        <w:jc w:val="left"/>
      </w:pPr>
      <w:r>
        <w:t>vielen Dank für die Übersendung der Update-Notizen am Sonntagabend. Wir wissen, dass die Klausurenkorrektur an der Bucerius gerade läuft, und werden den Kommentar nicht durch zusätzliche Diskussionen verzögern. Damit wir die Notizen für die Herausgeberrunde am Mo 08.06. aufbereiten können, bitten wir um folgende Klarstellungen:</w:t>
      </w:r>
    </w:p>
    <w:p>
      <w:pPr>
        <w:pStyle w:val="ListNumber"/>
      </w:pPr>
      <w:r>
        <w:t>Rechtsstandsdatum -- mit welchem Stichtag wurde das Update gefasst? (Vorschlag aus der Akte: 31.05.2026, bitte bestätigen).</w:t>
      </w:r>
    </w:p>
    <w:p>
      <w:pPr>
        <w:pStyle w:val="ListNumber"/>
      </w:pPr>
      <w:r>
        <w:t>Randnummernzählung -- sollen die in der Notiz erwähnten Rn. 1, 4, 9, 12, 15 die bestehende Zählung der 7. Auflage ersetzen oder ergänzend eingearbeitet werden?</w:t>
      </w:r>
    </w:p>
    <w:p>
      <w:pPr>
        <w:pStyle w:val="ListNumber"/>
      </w:pPr>
      <w:r>
        <w:t>Pinpoint-Fundstellen -- in Rn. 9 wird auf "Wandtke/Bullinger" verwiesen, ohne Auflage; bitte um die Auflage, mit der Sie gearbeitet haben.</w:t>
      </w:r>
    </w:p>
    <w:p>
      <w:pPr>
        <w:pStyle w:val="ListNumber"/>
      </w:pPr>
      <w:r>
        <w:t>Abgrenzung Zeitschrift / Sammelband / Datenbank in Rn. 1 ist für die Verlagspraxis sehr interessant. Können Sie das im Kommentar selbst ausarbeiten, oder wollen Sie das einer der Hauptautoren überlassen?</w:t>
      </w:r>
    </w:p>
    <w:p>
      <w:pPr>
        <w:pStyle w:val="ListNumber"/>
      </w:pPr>
      <w:r>
        <w:t>Korrektur Frau Wendt von Sonntag 21:14 ("bitte Rn. 12 ignorieren") -- bedeutet das vollständige Streichung oder Neufassung?</w:t>
      </w:r>
    </w:p>
    <w:p>
      <w:pPr>
        <w:jc w:val="left"/>
      </w:pPr>
      <w:r>
        <w:t>Wir freuen uns über kurze Rückmeldung. Falls Punkte 3 oder 4 aus Zeitgründen erst nach den Klausurenkorrekturen möglich sind, sagen Sie das bitte einfach. Wir können dann in der Herausgeberrunde mit der Lücke arbeiten.</w:t>
      </w:r>
    </w:p>
    <w:p>
      <w:pPr>
        <w:jc w:val="left"/>
      </w:pPr>
      <w:r>
        <w:t>Beste Grüße</w:t>
      </w:r>
    </w:p>
    <w:p>
      <w:pPr>
        <w:jc w:val="left"/>
      </w:pPr>
      <w:r>
        <w:t>Marlena Klee</w:t>
      </w:r>
    </w:p>
    <w:p/>
    <w:p>
      <w:pPr>
        <w:pStyle w:val="Heading2"/>
      </w:pPr>
      <w:r>
        <w:rPr>
          <w:rFonts w:ascii="Times New Roman" w:hAnsi="Times New Roman"/>
        </w:rPr>
        <w:t>Status-Tabelle Autorenkorrespondenz Heft 7</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Autor</w:t>
            </w:r>
          </w:p>
        </w:tc>
        <w:tc>
          <w:tcPr>
            <w:tcW w:type="dxa" w:w="1814"/>
          </w:tcPr>
          <w:p>
            <w:r>
              <w:rPr>
                <w:rFonts w:ascii="Times New Roman" w:hAnsi="Times New Roman"/>
                <w:b/>
                <w:sz w:val="20"/>
              </w:rPr>
              <w:t>letzte Mail aus Redaktion</w:t>
            </w:r>
          </w:p>
        </w:tc>
        <w:tc>
          <w:tcPr>
            <w:tcW w:type="dxa" w:w="1814"/>
          </w:tcPr>
          <w:p>
            <w:r>
              <w:rPr>
                <w:rFonts w:ascii="Times New Roman" w:hAnsi="Times New Roman"/>
                <w:b/>
                <w:sz w:val="20"/>
              </w:rPr>
              <w:t>letzte Antwort</w:t>
            </w:r>
          </w:p>
        </w:tc>
        <w:tc>
          <w:tcPr>
            <w:tcW w:type="dxa" w:w="1814"/>
          </w:tcPr>
          <w:p>
            <w:r>
              <w:rPr>
                <w:rFonts w:ascii="Times New Roman" w:hAnsi="Times New Roman"/>
                <w:b/>
                <w:sz w:val="20"/>
              </w:rPr>
              <w:t>offene Punkte</w:t>
            </w:r>
          </w:p>
        </w:tc>
        <w:tc>
          <w:tcPr>
            <w:tcW w:type="dxa" w:w="1814"/>
          </w:tcPr>
          <w:p>
            <w:r>
              <w:rPr>
                <w:rFonts w:ascii="Times New Roman" w:hAnsi="Times New Roman"/>
                <w:b/>
                <w:sz w:val="20"/>
              </w:rPr>
              <w:t>Eskalationsstufe</w:t>
            </w:r>
          </w:p>
        </w:tc>
      </w:tr>
      <w:tr>
        <w:tc>
          <w:tcPr>
            <w:tcW w:type="dxa" w:w="1814"/>
          </w:tcPr>
          <w:p>
            <w:r>
              <w:rPr>
                <w:rFonts w:ascii="Times New Roman" w:hAnsi="Times New Roman"/>
                <w:sz w:val="20"/>
              </w:rPr>
              <w:t>Seidenpfennig</w:t>
            </w:r>
          </w:p>
        </w:tc>
        <w:tc>
          <w:tcPr>
            <w:tcW w:type="dxa" w:w="1814"/>
          </w:tcPr>
          <w:p>
            <w:r>
              <w:rPr>
                <w:rFonts w:ascii="Times New Roman" w:hAnsi="Times New Roman"/>
                <w:sz w:val="20"/>
              </w:rPr>
              <w:t>25.04.2026 (Kürzungswunsch v6)</w:t>
            </w:r>
          </w:p>
        </w:tc>
        <w:tc>
          <w:tcPr>
            <w:tcW w:type="dxa" w:w="1814"/>
          </w:tcPr>
          <w:p>
            <w:r>
              <w:rPr>
                <w:rFonts w:ascii="Times New Roman" w:hAnsi="Times New Roman"/>
                <w:sz w:val="20"/>
              </w:rPr>
              <w:t>30.05.2026 (v7 eingegangen)</w:t>
            </w:r>
          </w:p>
        </w:tc>
        <w:tc>
          <w:tcPr>
            <w:tcW w:type="dxa" w:w="1814"/>
          </w:tcPr>
          <w:p>
            <w:r>
              <w:rPr>
                <w:rFonts w:ascii="Times New Roman" w:hAnsi="Times New Roman"/>
                <w:sz w:val="20"/>
              </w:rPr>
              <w:t>Kürzung, Fußnoten, IV.3-Quelle</w:t>
            </w:r>
          </w:p>
        </w:tc>
        <w:tc>
          <w:tcPr>
            <w:tcW w:type="dxa" w:w="1814"/>
          </w:tcPr>
          <w:p>
            <w:r>
              <w:rPr>
                <w:rFonts w:ascii="Times New Roman" w:hAnsi="Times New Roman"/>
                <w:sz w:val="20"/>
              </w:rPr>
              <w:t>2 (zweites Schreiben fällig)</w:t>
            </w:r>
          </w:p>
        </w:tc>
      </w:tr>
      <w:tr>
        <w:tc>
          <w:tcPr>
            <w:tcW w:type="dxa" w:w="1814"/>
          </w:tcPr>
          <w:p>
            <w:r>
              <w:rPr>
                <w:rFonts w:ascii="Times New Roman" w:hAnsi="Times New Roman"/>
                <w:sz w:val="20"/>
              </w:rPr>
              <w:t>Rabenau</w:t>
            </w:r>
          </w:p>
        </w:tc>
        <w:tc>
          <w:tcPr>
            <w:tcW w:type="dxa" w:w="1814"/>
          </w:tcPr>
          <w:p>
            <w:r>
              <w:rPr>
                <w:rFonts w:ascii="Times New Roman" w:hAnsi="Times New Roman"/>
                <w:sz w:val="20"/>
              </w:rPr>
              <w:t>12.05.2026 (Bildrechte allgemein)</w:t>
            </w:r>
          </w:p>
        </w:tc>
        <w:tc>
          <w:tcPr>
            <w:tcW w:type="dxa" w:w="1814"/>
          </w:tcPr>
          <w:p>
            <w:r>
              <w:rPr>
                <w:rFonts w:ascii="Times New Roman" w:hAnsi="Times New Roman"/>
                <w:sz w:val="20"/>
              </w:rPr>
              <w:t>30.05.2026 ("darf rein")</w:t>
            </w:r>
          </w:p>
        </w:tc>
        <w:tc>
          <w:tcPr>
            <w:tcW w:type="dxa" w:w="1814"/>
          </w:tcPr>
          <w:p>
            <w:r>
              <w:rPr>
                <w:rFonts w:ascii="Times New Roman" w:hAnsi="Times New Roman"/>
                <w:sz w:val="20"/>
              </w:rPr>
              <w:t>DAV-Genehmigung, Drittquelle</w:t>
            </w:r>
          </w:p>
        </w:tc>
        <w:tc>
          <w:tcPr>
            <w:tcW w:type="dxa" w:w="1814"/>
          </w:tcPr>
          <w:p>
            <w:r>
              <w:rPr>
                <w:rFonts w:ascii="Times New Roman" w:hAnsi="Times New Roman"/>
                <w:sz w:val="20"/>
              </w:rPr>
              <w:t>1 (Erstanfrage konkret)</w:t>
            </w:r>
          </w:p>
        </w:tc>
      </w:tr>
      <w:tr>
        <w:tc>
          <w:tcPr>
            <w:tcW w:type="dxa" w:w="1814"/>
          </w:tcPr>
          <w:p>
            <w:r>
              <w:rPr>
                <w:rFonts w:ascii="Times New Roman" w:hAnsi="Times New Roman"/>
                <w:sz w:val="20"/>
              </w:rPr>
              <w:t>Wendt/Krug</w:t>
            </w:r>
          </w:p>
        </w:tc>
        <w:tc>
          <w:tcPr>
            <w:tcW w:type="dxa" w:w="1814"/>
          </w:tcPr>
          <w:p>
            <w:r>
              <w:rPr>
                <w:rFonts w:ascii="Times New Roman" w:hAnsi="Times New Roman"/>
                <w:sz w:val="20"/>
              </w:rPr>
              <w:t>14.05.2026 (Termin Kommentarupdate)</w:t>
            </w:r>
          </w:p>
        </w:tc>
        <w:tc>
          <w:tcPr>
            <w:tcW w:type="dxa" w:w="1814"/>
          </w:tcPr>
          <w:p>
            <w:r>
              <w:rPr>
                <w:rFonts w:ascii="Times New Roman" w:hAnsi="Times New Roman"/>
                <w:sz w:val="20"/>
              </w:rPr>
              <w:t>31.05.2026 21:14 (Korrektur Rn. 12)</w:t>
            </w:r>
          </w:p>
        </w:tc>
        <w:tc>
          <w:tcPr>
            <w:tcW w:type="dxa" w:w="1814"/>
          </w:tcPr>
          <w:p>
            <w:r>
              <w:rPr>
                <w:rFonts w:ascii="Times New Roman" w:hAnsi="Times New Roman"/>
                <w:sz w:val="20"/>
              </w:rPr>
              <w:t>Rechtsstand, Pinpoints, Rn.-Zählung</w:t>
            </w:r>
          </w:p>
        </w:tc>
        <w:tc>
          <w:tcPr>
            <w:tcW w:type="dxa" w:w="1814"/>
          </w:tcPr>
          <w:p>
            <w:r>
              <w:rPr>
                <w:rFonts w:ascii="Times New Roman" w:hAnsi="Times New Roman"/>
                <w:sz w:val="20"/>
              </w:rPr>
              <w:t>1 (laufende Kommunikation)</w:t>
            </w:r>
          </w:p>
        </w:tc>
      </w:tr>
      <w:tr>
        <w:tc>
          <w:tcPr>
            <w:tcW w:type="dxa" w:w="1814"/>
          </w:tcPr>
          <w:p>
            <w:r>
              <w:rPr>
                <w:rFonts w:ascii="Times New Roman" w:hAnsi="Times New Roman"/>
                <w:sz w:val="20"/>
              </w:rPr>
              <w:t>Lenz</w:t>
            </w:r>
          </w:p>
        </w:tc>
        <w:tc>
          <w:tcPr>
            <w:tcW w:type="dxa" w:w="1814"/>
          </w:tcPr>
          <w:p>
            <w:r>
              <w:rPr>
                <w:rFonts w:ascii="Times New Roman" w:hAnsi="Times New Roman"/>
                <w:sz w:val="20"/>
              </w:rPr>
              <w:t>28.05.2026 (Volltext-Embargo)</w:t>
            </w:r>
          </w:p>
        </w:tc>
        <w:tc>
          <w:tcPr>
            <w:tcW w:type="dxa" w:w="1814"/>
          </w:tcPr>
          <w:p>
            <w:r>
              <w:rPr>
                <w:rFonts w:ascii="Times New Roman" w:hAnsi="Times New Roman"/>
                <w:sz w:val="20"/>
              </w:rPr>
              <w:t>30.05.2026 (Online-first-Wunsch)</w:t>
            </w:r>
          </w:p>
        </w:tc>
        <w:tc>
          <w:tcPr>
            <w:tcW w:type="dxa" w:w="1814"/>
          </w:tcPr>
          <w:p>
            <w:r>
              <w:rPr>
                <w:rFonts w:ascii="Times New Roman" w:hAnsi="Times New Roman"/>
                <w:sz w:val="20"/>
              </w:rPr>
              <w:t>Freigabe, Volltext</w:t>
            </w:r>
          </w:p>
        </w:tc>
        <w:tc>
          <w:tcPr>
            <w:tcW w:type="dxa" w:w="1814"/>
          </w:tcPr>
          <w:p>
            <w:r>
              <w:rPr>
                <w:rFonts w:ascii="Times New Roman" w:hAnsi="Times New Roman"/>
                <w:sz w:val="20"/>
              </w:rPr>
              <w:t>1</w:t>
            </w:r>
          </w:p>
        </w:tc>
      </w:tr>
      <w:tr>
        <w:tc>
          <w:tcPr>
            <w:tcW w:type="dxa" w:w="1814"/>
          </w:tcPr>
          <w:p>
            <w:r>
              <w:rPr>
                <w:rFonts w:ascii="Times New Roman" w:hAnsi="Times New Roman"/>
                <w:sz w:val="20"/>
              </w:rPr>
              <w:t>Greve</w:t>
            </w:r>
          </w:p>
        </w:tc>
        <w:tc>
          <w:tcPr>
            <w:tcW w:type="dxa" w:w="1814"/>
          </w:tcPr>
          <w:p>
            <w:r>
              <w:rPr>
                <w:rFonts w:ascii="Times New Roman" w:hAnsi="Times New Roman"/>
                <w:sz w:val="20"/>
              </w:rPr>
              <w:t>22.05.2026 (Alt-Text-Anfrage)</w:t>
            </w:r>
          </w:p>
        </w:tc>
        <w:tc>
          <w:tcPr>
            <w:tcW w:type="dxa" w:w="1814"/>
          </w:tcPr>
          <w:p>
            <w:r>
              <w:rPr>
                <w:rFonts w:ascii="Times New Roman" w:hAnsi="Times New Roman"/>
                <w:sz w:val="20"/>
              </w:rPr>
              <w:t>offen</w:t>
            </w:r>
          </w:p>
        </w:tc>
        <w:tc>
          <w:tcPr>
            <w:tcW w:type="dxa" w:w="1814"/>
          </w:tcPr>
          <w:p>
            <w:r>
              <w:rPr>
                <w:rFonts w:ascii="Times New Roman" w:hAnsi="Times New Roman"/>
                <w:sz w:val="20"/>
              </w:rPr>
              <w:t>Alt-Text Workflow-Grafik</w:t>
            </w:r>
          </w:p>
        </w:tc>
        <w:tc>
          <w:tcPr>
            <w:tcW w:type="dxa" w:w="1814"/>
          </w:tcPr>
          <w:p>
            <w:r>
              <w:rPr>
                <w:rFonts w:ascii="Times New Roman" w:hAnsi="Times New Roman"/>
                <w:sz w:val="20"/>
              </w:rPr>
              <w:t>2 (zweite Erinnerung)</w:t>
            </w:r>
          </w:p>
        </w:tc>
      </w:tr>
      <w:tr>
        <w:tc>
          <w:tcPr>
            <w:tcW w:type="dxa" w:w="1814"/>
          </w:tcPr>
          <w:p>
            <w:r>
              <w:rPr>
                <w:rFonts w:ascii="Times New Roman" w:hAnsi="Times New Roman"/>
                <w:sz w:val="20"/>
              </w:rPr>
              <w:t>Niemczyk (Heft 5)</w:t>
            </w:r>
          </w:p>
        </w:tc>
        <w:tc>
          <w:tcPr>
            <w:tcW w:type="dxa" w:w="1814"/>
          </w:tcPr>
          <w:p>
            <w:r>
              <w:rPr>
                <w:rFonts w:ascii="Times New Roman" w:hAnsi="Times New Roman"/>
                <w:sz w:val="20"/>
              </w:rPr>
              <w:t>02.05.2026 (Honorarklarstellung)</w:t>
            </w:r>
          </w:p>
        </w:tc>
        <w:tc>
          <w:tcPr>
            <w:tcW w:type="dxa" w:w="1814"/>
          </w:tcPr>
          <w:p>
            <w:r>
              <w:rPr>
                <w:rFonts w:ascii="Times New Roman" w:hAnsi="Times New Roman"/>
                <w:sz w:val="20"/>
              </w:rPr>
              <w:t>offen</w:t>
            </w:r>
          </w:p>
        </w:tc>
        <w:tc>
          <w:tcPr>
            <w:tcW w:type="dxa" w:w="1814"/>
          </w:tcPr>
          <w:p>
            <w:r>
              <w:rPr>
                <w:rFonts w:ascii="Times New Roman" w:hAnsi="Times New Roman"/>
                <w:sz w:val="20"/>
              </w:rPr>
              <w:t>Buchhaltung/Honorar</w:t>
            </w:r>
          </w:p>
        </w:tc>
        <w:tc>
          <w:tcPr>
            <w:tcW w:type="dxa" w:w="1814"/>
          </w:tcPr>
          <w:p>
            <w:r>
              <w:rPr>
                <w:rFonts w:ascii="Times New Roman" w:hAnsi="Times New Roman"/>
                <w:sz w:val="20"/>
              </w:rPr>
              <w:t>3 (Mahnung Stufe 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