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/>
          <w:color w:val="5B6770"/>
          <w:sz w:val="17"/>
        </w:rPr>
        <w:t>Hanseatische Raumfahrtrisiken VVaG · Dovenfleet 12 · 20457 Hamburg</w:t>
        <w:br/>
      </w:r>
      <w:r>
        <w:rPr>
          <w:rFonts w:ascii="Arial" w:hAnsi="Arial"/>
          <w:color w:val="5B6770"/>
          <w:sz w:val="16"/>
        </w:rPr>
        <w:t>Abteilung Luft- und Raumfahrt · Telefon 040 3346-880</w:t>
      </w:r>
    </w:p>
    <w:p>
      <w:pPr>
        <w:spacing w:after="280"/>
      </w:pPr>
      <w:r>
        <w:rPr>
          <w:rFonts w:ascii="Arial" w:hAnsi="Arial"/>
          <w:b/>
          <w:sz w:val="21"/>
        </w:rPr>
        <w:t>Nordlicht Orbit Systems GmbH</w:t>
        <w:br/>
      </w:r>
      <w:r>
        <w:rPr>
          <w:rFonts w:ascii="Arial" w:hAnsi="Arial"/>
          <w:sz w:val="21"/>
        </w:rPr>
        <w:t>Herrn Geschäftsführer Dr. Yannik Peters</w:t>
        <w:br/>
      </w:r>
      <w:r>
        <w:rPr>
          <w:rFonts w:ascii="Arial" w:hAnsi="Arial"/>
          <w:sz w:val="21"/>
        </w:rPr>
        <w:t>Friedensallee 231</w:t>
        <w:br/>
      </w:r>
      <w:r>
        <w:rPr>
          <w:rFonts w:ascii="Arial" w:hAnsi="Arial"/>
          <w:sz w:val="21"/>
        </w:rPr>
        <w:t>22763 Hamburg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6770"/>
                <w:sz w:val="18"/>
              </w:rPr>
              <w:t>Angebotsnummer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HRV-2026-771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6770"/>
                <w:sz w:val="18"/>
              </w:rPr>
              <w:t>Underwriterin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Maren Vollbrecht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6770"/>
                <w:sz w:val="18"/>
              </w:rPr>
              <w:t>Datum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18. Juli 2026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6770"/>
                <w:sz w:val="18"/>
              </w:rPr>
              <w:t>Versicherungsbeginn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frühestens 1. September 2027</w:t>
            </w:r>
          </w:p>
        </w:tc>
      </w:tr>
    </w:tbl>
    <w:p>
      <w:pPr>
        <w:spacing w:after="0"/>
      </w:pPr>
    </w:p>
    <w:p>
      <w:pPr>
        <w:pStyle w:val="Title"/>
        <w:keepNext/>
      </w:pPr>
      <w:r>
        <w:t>Vorläufige Deckungseckpunkte NORDLICHT-A</w:t>
      </w:r>
    </w:p>
    <w:p>
      <w:pPr>
        <w:widowControl/>
        <w:jc w:val="both"/>
      </w:pPr>
      <w:r>
        <w:t>Sehr geehrter Herr Dr. Peters,</w:t>
      </w:r>
    </w:p>
    <w:p>
      <w:pPr>
        <w:widowControl/>
        <w:jc w:val="both"/>
      </w:pPr>
      <w:r>
        <w:t>auf Grundlage der Unterlagen vom 1. Juli 2026 haben wir vorläufige Eckpunkte für die Versicherung des ersten Starts mit 30 Satelliten erstellt. Eine bindende Deckungszusage ist damit noch nicht verbunden.</w:t>
      </w:r>
    </w:p>
    <w:p>
      <w:pPr>
        <w:pStyle w:val="Heading1"/>
      </w:pPr>
      <w:r>
        <w:t>1. Versicherte Phase</w:t>
      </w:r>
    </w:p>
    <w:p>
      <w:pPr>
        <w:widowControl/>
        <w:jc w:val="both"/>
      </w:pPr>
      <w:r>
        <w:t>Vorgesehen ist eine Startversicherung ab Zündung der Trägerrakete Fjell-2 bis 72 Stunden nach Separation des letzten Satelliten. Für die anschließende Inbetriebnahmephase wird eine gesonderte Deckung bis 60 Tage nach Start geprüft.</w:t>
      </w:r>
    </w:p>
    <w:p>
      <w:pPr>
        <w:widowControl/>
        <w:jc w:val="both"/>
      </w:pPr>
      <w:r>
        <w:t>Die vorläufige Versicherungssumme beträgt 138000000 Euro für die Satelliten und 42000000 Euro für Startdienstleistungen und Integrationskosten.</w:t>
      </w:r>
    </w:p>
    <w:p>
      <w:pPr>
        <w:pStyle w:val="Heading1"/>
      </w:pPr>
      <w:r>
        <w:t>2. Angeforderte technische Unterlagen</w:t>
      </w:r>
    </w:p>
    <w:p>
      <w:pPr>
        <w:widowControl/>
        <w:jc w:val="both"/>
      </w:pPr>
      <w:r>
        <w:t>Vor einer abschließenden Zeichnung benötigen wir den vollständigen Anomaliebericht zum Telemetrieverlust des Testartikels NLO-PF-03, den Laborbericht zum Kommunikationsmodul CM-44 und die Freigabeentscheidung für die Flughardware.</w:t>
      </w:r>
    </w:p>
    <w:p>
      <w:pPr>
        <w:widowControl/>
        <w:jc w:val="both"/>
      </w:pPr>
      <w:r>
        <w:t>Bitte reichen Sie außerdem die Qualifikationsnachweise für den Flugadapter, die thermischen Testberichte der Satelliten und die aktuelle Zuverlässigkeitsberechnung der Trägerrakete Fjell-2 ein.</w:t>
      </w:r>
    </w:p>
    <w:p>
      <w:pPr>
        <w:pStyle w:val="Heading1"/>
      </w:pPr>
      <w:r>
        <w:t>3. Haftungs- und Regressregelungen</w:t>
      </w:r>
    </w:p>
    <w:p>
      <w:pPr>
        <w:widowControl/>
        <w:jc w:val="both"/>
      </w:pPr>
      <w:r>
        <w:t>Der uns vorgelegte Startdienstvertrag vom 19. April 2026 enthält wechselseitige Haftungsfreistellungen, erfasst aber nach dem Wortlaut nicht sämtliche Unterauftragnehmer des Startplatzbetreibers. Bitte übersenden Sie den angekündigten Vertragsnachtrag.</w:t>
      </w:r>
    </w:p>
    <w:p>
      <w:pPr>
        <w:widowControl/>
        <w:jc w:val="both"/>
      </w:pPr>
      <w:r>
        <w:t>Für Schäden außerhalb der Startanlage benötigen wir eine Übersicht der bestehenden Haftpflichtdeckung der Borealis Launch Services AS und der Küstenplate Infrastruktur GmbH.</w:t>
      </w:r>
    </w:p>
    <w:p>
      <w:pPr>
        <w:pStyle w:val="Heading1"/>
      </w:pPr>
      <w:r>
        <w:t>4. Vorläufige Konditionen</w:t>
      </w:r>
    </w:p>
    <w:p>
      <w:pPr>
        <w:widowControl/>
        <w:jc w:val="both"/>
      </w:pPr>
      <w:r>
        <w:t>Die indikative Prämie für die Startphase beträgt 8,4 Prozent der Versicherungssumme zuzüglich Versicherungssteuer. Vorgesehen ist ein Selbstbehalt von 3500000 Euro je Ereignis.</w:t>
      </w:r>
    </w:p>
    <w:p>
      <w:pPr>
        <w:widowControl/>
        <w:jc w:val="both"/>
      </w:pPr>
      <w:r>
        <w:t>Die Kalkulation setzt voraus, dass der Erststart nicht vor dem 1. September 2027 erfolgt und dass bis zum 15. Juni 2027 alle wesentlichen Qualifikationstests abgeschlossen sind.</w:t>
      </w:r>
    </w:p>
    <w:p>
      <w:pPr>
        <w:pStyle w:val="Heading1"/>
      </w:pPr>
      <w:r>
        <w:t>5. Gültigkeit</w:t>
      </w:r>
    </w:p>
    <w:p>
      <w:pPr>
        <w:widowControl/>
        <w:jc w:val="both"/>
      </w:pPr>
      <w:r>
        <w:t>Die vorstehenden Eckpunkte gelten bis zum 30. September 2026. Änderungen des Startfahrzeugs, der Satellitenzahl, des Startorts oder des Missionsprofils sind uns unverzüglich mitzuteilen.</w:t>
      </w:r>
    </w:p>
    <w:p>
      <w:pPr>
        <w:widowControl/>
        <w:jc w:val="left"/>
      </w:pPr>
      <w:r>
        <w:rPr>
          <w:rFonts w:ascii="Arial" w:hAnsi="Arial"/>
          <w:sz w:val="20"/>
        </w:rPr>
        <w:t>Gern besprechen wir die Unterlagen in einer Videokonferenz am 4. August 2026.</w:t>
      </w:r>
    </w:p>
    <w:p>
      <w:pPr>
        <w:widowControl/>
        <w:jc w:val="left"/>
      </w:pPr>
      <w:r>
        <w:rPr>
          <w:rFonts w:ascii="Arial" w:hAnsi="Arial"/>
          <w:sz w:val="20"/>
        </w:rPr>
        <w:t>Mit freundlichen Grüßen</w:t>
      </w:r>
    </w:p>
    <w:p>
      <w:pPr>
        <w:widowControl/>
        <w:jc w:val="left"/>
      </w:pPr>
      <w:r>
        <w:rPr>
          <w:rFonts w:ascii="Arial" w:hAnsi="Arial"/>
          <w:b/>
          <w:sz w:val="20"/>
        </w:rPr>
        <w:t>Hanseatische Raumfahrtrisiken VVaG</w:t>
        <w:br/>
      </w:r>
      <w:r>
        <w:rPr>
          <w:rFonts w:ascii="Arial" w:hAnsi="Arial"/>
          <w:sz w:val="20"/>
        </w:rPr>
        <w:t>Maren Vollbrecht, Senior Underwriterin</w:t>
        <w:br/>
      </w:r>
      <w:r>
        <w:rPr>
          <w:rFonts w:ascii="Arial" w:hAnsi="Arial"/>
          <w:sz w:val="20"/>
        </w:rPr>
        <w:t>Dr. Paul Riemer, Leiter Luft- und Raumfahrt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020" w:left="1276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7"/>
      </w:rPr>
      <w:t xml:space="preserve">Seite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92B3A"/>
        <w:sz w:val="18"/>
      </w:rPr>
      <w:t>Hanseatische Raumfahrtrisiken VVaG</w:t>
    </w:r>
    <w:r>
      <w:rPr>
        <w:rFonts w:ascii="Arial" w:hAnsi="Arial"/>
        <w:color w:val="5B6770"/>
        <w:sz w:val="16"/>
      </w:rPr>
      <w:t xml:space="preserve">   |   Angebot HRV-2026-771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9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15B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2B3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9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