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Zweiter Nachtrag zum Launch Services Agreement</w:t>
      </w:r>
    </w:p>
    <w:p>
      <w:pPr>
        <w:spacing w:after="240"/>
      </w:pPr>
      <w:r>
        <w:rPr>
          <w:rFonts w:ascii="Arial" w:hAnsi="Arial"/>
          <w:color w:val="5B6770"/>
          <w:sz w:val="22"/>
        </w:rPr>
        <w:t>Entwurfsstand 12. Juli 2026</w:t>
      </w:r>
    </w:p>
    <w:tbl>
      <w:tblPr>
        <w:tblW w:type="auto" w:w="0"/>
        <w:jc w:val="left"/>
        <w:tblLayout w:type="fixed"/>
        <w:tblLook w:firstColumn="1" w:firstRow="1" w:lastColumn="0" w:lastRow="0" w:noHBand="0" w:noVBand="1" w:val="04A0"/>
      </w:tblPr>
      <w:tblGrid>
        <w:gridCol w:w="4705"/>
        <w:gridCol w:w="4705"/>
      </w:tblGrid>
      <w:tr>
        <w:tc>
          <w:tcPr>
            <w:tcW w:type="dxa" w:w="1984"/>
            <w:vAlign w:val="center"/>
          </w:tcPr>
          <w:p>
            <w:pPr>
              <w:spacing w:after="0"/>
            </w:pPr>
            <w:r>
              <w:rPr>
                <w:rFonts w:ascii="Arial" w:hAnsi="Arial"/>
                <w:b/>
                <w:color w:val="5B6770"/>
                <w:sz w:val="18"/>
              </w:rPr>
              <w:t>Hauptvertrag</w:t>
            </w:r>
          </w:p>
        </w:tc>
        <w:tc>
          <w:tcPr>
            <w:tcW w:type="dxa" w:w="7257"/>
            <w:vAlign w:val="center"/>
          </w:tcPr>
          <w:p>
            <w:pPr>
              <w:spacing w:after="0"/>
            </w:pPr>
            <w:r>
              <w:rPr>
                <w:rFonts w:ascii="Arial" w:hAnsi="Arial"/>
                <w:sz w:val="18"/>
              </w:rPr>
              <w:t>BLS-NLO-190426 vom 19. April 2026</w:t>
            </w:r>
          </w:p>
        </w:tc>
      </w:tr>
      <w:tr>
        <w:tc>
          <w:tcPr>
            <w:tcW w:type="dxa" w:w="1984"/>
            <w:vAlign w:val="center"/>
          </w:tcPr>
          <w:p>
            <w:pPr>
              <w:spacing w:after="0"/>
            </w:pPr>
            <w:r>
              <w:rPr>
                <w:rFonts w:ascii="Arial" w:hAnsi="Arial"/>
                <w:b/>
                <w:color w:val="5B6770"/>
                <w:sz w:val="18"/>
              </w:rPr>
              <w:t>Mission</w:t>
            </w:r>
          </w:p>
        </w:tc>
        <w:tc>
          <w:tcPr>
            <w:tcW w:type="dxa" w:w="7257"/>
            <w:vAlign w:val="center"/>
          </w:tcPr>
          <w:p>
            <w:pPr>
              <w:spacing w:after="0"/>
            </w:pPr>
            <w:r>
              <w:rPr>
                <w:rFonts w:ascii="Arial" w:hAnsi="Arial"/>
                <w:sz w:val="18"/>
              </w:rPr>
              <w:t>NORDLICHT-A</w:t>
            </w:r>
          </w:p>
        </w:tc>
      </w:tr>
      <w:tr>
        <w:tc>
          <w:tcPr>
            <w:tcW w:type="dxa" w:w="1984"/>
            <w:vAlign w:val="center"/>
          </w:tcPr>
          <w:p>
            <w:pPr>
              <w:spacing w:after="0"/>
            </w:pPr>
            <w:r>
              <w:rPr>
                <w:rFonts w:ascii="Arial" w:hAnsi="Arial"/>
                <w:b/>
                <w:color w:val="5B6770"/>
                <w:sz w:val="18"/>
              </w:rPr>
              <w:t>Startfenster</w:t>
            </w:r>
          </w:p>
        </w:tc>
        <w:tc>
          <w:tcPr>
            <w:tcW w:type="dxa" w:w="7257"/>
            <w:vAlign w:val="center"/>
          </w:tcPr>
          <w:p>
            <w:pPr>
              <w:spacing w:after="0"/>
            </w:pPr>
            <w:r>
              <w:rPr>
                <w:rFonts w:ascii="Arial" w:hAnsi="Arial"/>
                <w:sz w:val="18"/>
              </w:rPr>
              <w:t>18. bis 30. September 2027</w:t>
            </w:r>
          </w:p>
        </w:tc>
      </w:tr>
      <w:tr>
        <w:tc>
          <w:tcPr>
            <w:tcW w:type="dxa" w:w="1984"/>
            <w:vAlign w:val="center"/>
          </w:tcPr>
          <w:p>
            <w:pPr>
              <w:spacing w:after="0"/>
            </w:pPr>
            <w:r>
              <w:rPr>
                <w:rFonts w:ascii="Arial" w:hAnsi="Arial"/>
                <w:b/>
                <w:color w:val="5B6770"/>
                <w:sz w:val="18"/>
              </w:rPr>
              <w:t>Startareal</w:t>
            </w:r>
          </w:p>
        </w:tc>
        <w:tc>
          <w:tcPr>
            <w:tcW w:type="dxa" w:w="7257"/>
            <w:vAlign w:val="center"/>
          </w:tcPr>
          <w:p>
            <w:pPr>
              <w:spacing w:after="0"/>
            </w:pPr>
            <w:r>
              <w:rPr>
                <w:rFonts w:ascii="Arial" w:hAnsi="Arial"/>
                <w:sz w:val="18"/>
              </w:rPr>
              <w:t>Küstenplate, Niedersachsen</w:t>
            </w:r>
          </w:p>
        </w:tc>
      </w:tr>
    </w:tbl>
    <w:p>
      <w:pPr>
        <w:spacing w:after="0"/>
      </w:pPr>
    </w:p>
    <w:p>
      <w:pPr>
        <w:pStyle w:val="Heading1"/>
      </w:pPr>
      <w:r>
        <w:t>1. Parteien und Bezug</w:t>
      </w:r>
    </w:p>
    <w:p>
      <w:pPr>
        <w:widowControl/>
        <w:jc w:val="both"/>
      </w:pPr>
      <w:r>
        <w:t>Dieser Nachtrag wird zwischen der Borealis Launch Services AS, Storgata 81, 9008 Tromsø, Norwegen, und der Nordlicht Orbit Systems GmbH, Friedensallee 231, 22763 Hamburg, geschlossen.</w:t>
      </w:r>
    </w:p>
    <w:p>
      <w:pPr>
        <w:widowControl/>
        <w:jc w:val="both"/>
      </w:pPr>
      <w:r>
        <w:t>Er ergänzt das Launch Services Agreement vom 19. April 2026 und den ersten Nachtrag vom 31. Mai 2026. Im Übrigen bleiben die dort bezeichneten Leistungen und Zahlungstermine bestehen.</w:t>
      </w:r>
    </w:p>
    <w:p>
      <w:pPr>
        <w:pStyle w:val="Heading1"/>
      </w:pPr>
      <w:r>
        <w:t>2. Startfenster und Startbereitschaft</w:t>
      </w:r>
    </w:p>
    <w:p>
      <w:pPr>
        <w:widowControl/>
        <w:jc w:val="both"/>
      </w:pPr>
      <w:r>
        <w:t>Das primäre Startfenster beginnt am 18. September 2027 um 03:50 UTC und endet um 05:10 UTC. Weitere tägliche Fenster werden bis zum 30. September 2027 bereitgehalten. Die endgültige Startzeit wird 24 Stunden vor dem jeweiligen Versuch bestätigt.</w:t>
      </w:r>
    </w:p>
    <w:p>
      <w:pPr>
        <w:widowControl/>
        <w:jc w:val="both"/>
      </w:pPr>
      <w:r>
        <w:t>Nordlicht Orbit Systems GmbH liefert die 30 Satelliten spätestens am 10. August 2027 an das Integrationsgebäude Küstenplate. Borealis Launch Services AS stellt den Flugadapter und die elektrische Schnittstelle ab 12. August 2027 bereit.</w:t>
      </w:r>
    </w:p>
    <w:p>
      <w:pPr>
        <w:pStyle w:val="Heading1"/>
      </w:pPr>
      <w:r>
        <w:t>3. Anomalie NLO-PF-03</w:t>
      </w:r>
    </w:p>
    <w:p>
      <w:pPr>
        <w:widowControl/>
        <w:jc w:val="both"/>
      </w:pPr>
      <w:r>
        <w:t>Die Parteien halten fest, dass beim gekoppelten Test am 14. Juni 2026 ein Telemetrieausfall zwischen 03:41:18 UTC und 03:48:52 UTC auftrat. Der Bericht BLS-IR-2026-0614, Revision 1, ist diesem Nachtrag als Anlage 2 beigefügt.</w:t>
      </w:r>
    </w:p>
    <w:p>
      <w:pPr>
        <w:widowControl/>
        <w:jc w:val="both"/>
      </w:pPr>
      <w:r>
        <w:t>Vor der Flugfreigabe sind der Laborbericht zum Kommunikationsmodul CM-44, ein wiederholter Kältetest und ein gemeinsamer Schnittstellentest mit Flughardware vorzulegen. Der gemeinsame Test ist für Januar 2027 geplant.</w:t>
      </w:r>
    </w:p>
    <w:p>
      <w:pPr>
        <w:pStyle w:val="Heading1"/>
      </w:pPr>
      <w:r>
        <w:t>4. Maritime Sicherheitszone</w:t>
      </w:r>
    </w:p>
    <w:p>
      <w:pPr>
        <w:widowControl/>
        <w:jc w:val="both"/>
      </w:pPr>
      <w:r>
        <w:t>Borealis Launch Services AS stellt die Koordinaten des Nominal- und Abbruchkorridors bereit. Nordlicht Orbit Systems GmbH koordiniert die behördliche Abstimmung in Deutschland.</w:t>
      </w:r>
    </w:p>
    <w:p>
      <w:pPr>
        <w:widowControl/>
        <w:jc w:val="both"/>
      </w:pPr>
      <w:r>
        <w:t>Das Bergungsschiff BLS Vidar muss ab zwölf Stunden vor Beginn des Startfensters einsatzbereit im zugewiesenen Wartegebiet liegen. Statusmeldungen erfolgen im Abstand von 30 Minuten an die gemeinsame Startleitung.</w:t>
      </w:r>
    </w:p>
    <w:p>
      <w:pPr>
        <w:pStyle w:val="Heading1"/>
      </w:pPr>
      <w:r>
        <w:t>5. Haftungsfreistellungen</w:t>
      </w:r>
    </w:p>
    <w:p>
      <w:pPr>
        <w:widowControl/>
        <w:jc w:val="both"/>
      </w:pPr>
      <w:r>
        <w:t>Die im Hauptvertrag vereinbarten Freistellungen werden auf die namentlich benannten Unterauftragnehmer Küstenplate Infrastruktur GmbH, Elbmarsch Ground Services GmbH und Fjord Recovery Marine AS erstreckt, soweit deren Tätigkeiten unmittelbar der Mission NORDLICHT-A dienen.</w:t>
      </w:r>
    </w:p>
    <w:p>
      <w:pPr>
        <w:widowControl/>
        <w:jc w:val="both"/>
      </w:pPr>
      <w:r>
        <w:t>Die Parteien werden Versicherungsnachweise spätestens 90 Tage vor dem Start austauschen. Die Vorlage eines Nachweises ändert die im Hauptvertrag vereinbarten Haftungsgrenzen nicht.</w:t>
      </w:r>
    </w:p>
    <w:p>
      <w:pPr>
        <w:pStyle w:val="Heading1"/>
      </w:pPr>
      <w:r>
        <w:t>6. Vergütung</w:t>
      </w:r>
    </w:p>
    <w:p>
      <w:pPr>
        <w:widowControl/>
        <w:jc w:val="both"/>
      </w:pPr>
      <w:r>
        <w:t>Für zusätzliche maritime Koordination und die verlängerte Bereitstellung des Bergungsschiffs wird eine Pauschale von 780000 Euro vereinbart. 30 Prozent sind nach Unterzeichnung, 40 Prozent sechs Monate vor dem Start und 30 Prozent nach Abschluss der Bergung oder Freigabe des Suchgebiets fällig.</w:t>
      </w:r>
    </w:p>
    <w:p>
      <w:pPr>
        <w:pStyle w:val="Heading1"/>
      </w:pPr>
      <w:r>
        <w:t>7. Unterzeichnung</w:t>
      </w:r>
    </w:p>
    <w:p>
      <w:pPr>
        <w:widowControl/>
        <w:jc w:val="both"/>
      </w:pPr>
      <w:r>
        <w:t>Der Nachtrag wird in deutscher und englischer Fassung erstellt. Bei Abweichungen soll die englische Fassung des Hauptvertrags für technische Begriffe herangezogen werden. Die Unterzeichnung ist für den 5. August 2026 vorgesehen.</w:t>
      </w:r>
    </w:p>
    <w:p/>
    <w:p>
      <w:pPr>
        <w:keepLines/>
      </w:pPr>
      <w:r>
        <w:rPr>
          <w:rFonts w:ascii="Arial" w:hAnsi="Arial"/>
          <w:b/>
          <w:sz w:val="20"/>
        </w:rPr>
        <w:t>Entwurfsstand 12. Juli 2026</w:t>
        <w:br/>
      </w:r>
      <w:r>
        <w:rPr>
          <w:rFonts w:ascii="Arial" w:hAnsi="Arial"/>
          <w:sz w:val="20"/>
        </w:rPr>
        <w:t>Für Borealis Launch Services AS: Ingrid Hovland</w:t>
        <w:br/>
      </w:r>
      <w:r>
        <w:rPr>
          <w:rFonts w:ascii="Arial" w:hAnsi="Arial"/>
          <w:sz w:val="20"/>
        </w:rPr>
        <w:t>Für Nordlicht Orbit Systems GmbH: Dr. Yannik Peters</w:t>
      </w:r>
    </w:p>
    <w:sectPr w:rsidR="00FC693F" w:rsidRPr="0006063C" w:rsidSect="00034616">
      <w:headerReference w:type="default" r:id="rId9"/>
      <w:footerReference w:type="default" r:id="rId10"/>
      <w:pgSz w:w="11906" w:h="16838"/>
      <w:pgMar w:top="1191" w:right="1219" w:bottom="1020" w:left="1276"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7"/>
      </w:rPr>
      <w:t xml:space="preserve">Seite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192B3A"/>
        <w:sz w:val="18"/>
      </w:rPr>
      <w:t>Borealis Launch Services AS · Nordlicht Orbit Systems GmbH</w:t>
    </w:r>
    <w:r>
      <w:rPr>
        <w:rFonts w:ascii="Arial" w:hAnsi="Arial"/>
        <w:color w:val="5B6770"/>
        <w:sz w:val="16"/>
      </w:rPr>
      <w:t xml:space="preserve">   |   Nachtrag 2 · Vertrag BLS-NLO-190426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9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15B69"/>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92B3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192B3A"/>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