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Übergabeprotokoll Bodenstation Stade</w:t>
      </w:r>
    </w:p>
    <w:p>
      <w:pPr>
        <w:spacing w:after="240"/>
      </w:pPr>
      <w:r>
        <w:rPr>
          <w:rFonts w:ascii="Arial" w:hAnsi="Arial"/>
          <w:color w:val="5B6770"/>
          <w:sz w:val="22"/>
        </w:rPr>
        <w:t>Testkonfiguration für NORDLICHT-1 am 16. Juli 2026</w:t>
      </w:r>
    </w:p>
    <w:tbl>
      <w:tblPr>
        <w:tblW w:type="auto" w:w="0"/>
        <w:jc w:val="left"/>
        <w:tblLayout w:type="fixed"/>
        <w:tblLook w:firstColumn="1" w:firstRow="1" w:lastColumn="0" w:lastRow="0" w:noHBand="0" w:noVBand="1" w:val="04A0"/>
      </w:tblPr>
      <w:tblGrid>
        <w:gridCol w:w="4705"/>
        <w:gridCol w:w="4705"/>
      </w:tblGrid>
      <w:tr>
        <w:tc>
          <w:tcPr>
            <w:tcW w:type="dxa" w:w="1984"/>
            <w:vAlign w:val="center"/>
          </w:tcPr>
          <w:p>
            <w:pPr>
              <w:spacing w:after="0"/>
            </w:pPr>
            <w:r>
              <w:rPr>
                <w:rFonts w:ascii="Arial" w:hAnsi="Arial"/>
                <w:b/>
                <w:color w:val="5B6770"/>
                <w:sz w:val="18"/>
              </w:rPr>
              <w:t>Standort</w:t>
            </w:r>
          </w:p>
        </w:tc>
        <w:tc>
          <w:tcPr>
            <w:tcW w:type="dxa" w:w="7257"/>
            <w:vAlign w:val="center"/>
          </w:tcPr>
          <w:p>
            <w:pPr>
              <w:spacing w:after="0"/>
            </w:pPr>
            <w:r>
              <w:rPr>
                <w:rFonts w:ascii="Arial" w:hAnsi="Arial"/>
                <w:sz w:val="18"/>
              </w:rPr>
              <w:t>Bützflether Sand 9, 21683 Stade</w:t>
            </w:r>
          </w:p>
        </w:tc>
      </w:tr>
      <w:tr>
        <w:tc>
          <w:tcPr>
            <w:tcW w:type="dxa" w:w="1984"/>
            <w:vAlign w:val="center"/>
          </w:tcPr>
          <w:p>
            <w:pPr>
              <w:spacing w:after="0"/>
            </w:pPr>
            <w:r>
              <w:rPr>
                <w:rFonts w:ascii="Arial" w:hAnsi="Arial"/>
                <w:b/>
                <w:color w:val="5B6770"/>
                <w:sz w:val="18"/>
              </w:rPr>
              <w:t>Anlage</w:t>
            </w:r>
          </w:p>
        </w:tc>
        <w:tc>
          <w:tcPr>
            <w:tcW w:type="dxa" w:w="7257"/>
            <w:vAlign w:val="center"/>
          </w:tcPr>
          <w:p>
            <w:pPr>
              <w:spacing w:after="0"/>
            </w:pPr>
            <w:r>
              <w:rPr>
                <w:rFonts w:ascii="Arial" w:hAnsi="Arial"/>
                <w:sz w:val="18"/>
              </w:rPr>
              <w:t>Antenne EGS-X12 und S-Band-System EGS-S4</w:t>
            </w:r>
          </w:p>
        </w:tc>
      </w:tr>
      <w:tr>
        <w:tc>
          <w:tcPr>
            <w:tcW w:type="dxa" w:w="1984"/>
            <w:vAlign w:val="center"/>
          </w:tcPr>
          <w:p>
            <w:pPr>
              <w:spacing w:after="0"/>
            </w:pPr>
            <w:r>
              <w:rPr>
                <w:rFonts w:ascii="Arial" w:hAnsi="Arial"/>
                <w:b/>
                <w:color w:val="5B6770"/>
                <w:sz w:val="18"/>
              </w:rPr>
              <w:t>Beginn</w:t>
            </w:r>
          </w:p>
        </w:tc>
        <w:tc>
          <w:tcPr>
            <w:tcW w:type="dxa" w:w="7257"/>
            <w:vAlign w:val="center"/>
          </w:tcPr>
          <w:p>
            <w:pPr>
              <w:spacing w:after="0"/>
            </w:pPr>
            <w:r>
              <w:rPr>
                <w:rFonts w:ascii="Arial" w:hAnsi="Arial"/>
                <w:sz w:val="18"/>
              </w:rPr>
              <w:t>16. Juli 2026, 8:15 Uhr</w:t>
            </w:r>
          </w:p>
        </w:tc>
      </w:tr>
      <w:tr>
        <w:tc>
          <w:tcPr>
            <w:tcW w:type="dxa" w:w="1984"/>
            <w:vAlign w:val="center"/>
          </w:tcPr>
          <w:p>
            <w:pPr>
              <w:spacing w:after="0"/>
            </w:pPr>
            <w:r>
              <w:rPr>
                <w:rFonts w:ascii="Arial" w:hAnsi="Arial"/>
                <w:b/>
                <w:color w:val="5B6770"/>
                <w:sz w:val="18"/>
              </w:rPr>
              <w:t>Ende</w:t>
            </w:r>
          </w:p>
        </w:tc>
        <w:tc>
          <w:tcPr>
            <w:tcW w:type="dxa" w:w="7257"/>
            <w:vAlign w:val="center"/>
          </w:tcPr>
          <w:p>
            <w:pPr>
              <w:spacing w:after="0"/>
            </w:pPr>
            <w:r>
              <w:rPr>
                <w:rFonts w:ascii="Arial" w:hAnsi="Arial"/>
                <w:sz w:val="18"/>
              </w:rPr>
              <w:t>16. Juli 2026, 17:42 Uhr</w:t>
            </w:r>
          </w:p>
        </w:tc>
      </w:tr>
    </w:tbl>
    <w:p>
      <w:pPr>
        <w:spacing w:after="0"/>
      </w:pPr>
    </w:p>
    <w:p>
      <w:pPr>
        <w:pStyle w:val="Heading1"/>
      </w:pPr>
      <w:r>
        <w:t>1. Teilnehmer</w:t>
      </w:r>
    </w:p>
    <w:p>
      <w:pPr>
        <w:widowControl/>
        <w:jc w:val="both"/>
      </w:pPr>
      <w:r>
        <w:t>Für Elbmarsch Ground Services GmbH nahmen Antje Römer, Stationsleiterin, und Daniel Kruse, Funktechnik, teil. Für Nordlicht Orbit Systems GmbH waren Dr. Nora Thies, Systems Engineering, und Cem Yıldız, Flight Operations, anwesend.</w:t>
      </w:r>
    </w:p>
    <w:p>
      <w:pPr>
        <w:widowControl/>
        <w:jc w:val="both"/>
      </w:pPr>
      <w:r>
        <w:t>Der Zugang zur Antennenfläche wurde um 8:21 Uhr über Schließgruppe EGS-4 dokumentiert. Die Schlüsselkarte 0471 wurde Herrn Yıldız für den Testtag ausgegeben und um 17:38 Uhr zurückgegeben.</w:t>
      </w:r>
    </w:p>
    <w:p>
      <w:pPr>
        <w:pStyle w:val="Heading1"/>
      </w:pPr>
      <w:r>
        <w:t>2. Installierte Konfiguration</w:t>
      </w:r>
    </w:p>
    <w:p>
      <w:pPr>
        <w:widowControl/>
        <w:jc w:val="both"/>
      </w:pPr>
      <w:r>
        <w:t>Für das X-Band wurde die Antenne EGS-X12 mit einer Mittenfrequenz von 8260,5 Megahertz und einer Testbandbreite von 120 Megahertz konfiguriert. Die maximale Testleistung war softwareseitig auf 18 dBW begrenzt.</w:t>
      </w:r>
    </w:p>
    <w:p>
      <w:pPr>
        <w:widowControl/>
        <w:jc w:val="both"/>
      </w:pPr>
      <w:r>
        <w:t>Das S-Band-System EGS-S4 wurde auf 2242,5 Megahertz für Telemetrie und 2287,0 Megahertz für Kommandos eingestellt. Die Zeitsynchronisation erfolgte über den Empfänger GNSS-2.</w:t>
      </w:r>
    </w:p>
    <w:p>
      <w:pPr>
        <w:pStyle w:val="Heading1"/>
      </w:pPr>
      <w:r>
        <w:t>3. Prüfungen</w:t>
      </w:r>
    </w:p>
    <w:p>
      <w:pPr>
        <w:widowControl/>
        <w:jc w:val="both"/>
      </w:pPr>
      <w:r>
        <w:t>Der Antennennachlauf wurde für Elevationen zwischen fünf und 85 Grad geprüft. Bei 5,2 Grad trat für 0,7 Sekunden ein Positionsfehler von 0,18 Grad auf. Nach Anpassung des Servoparameters K3 wurde der Lauf wiederholt; der maximale Fehler betrug danach 0,06 Grad.</w:t>
      </w:r>
    </w:p>
    <w:p>
      <w:pPr>
        <w:widowControl/>
        <w:jc w:val="both"/>
      </w:pPr>
      <w:r>
        <w:t>Der Datenpfad zum Missionskontrollzentrum wurde mit 400 Megabit pro Sekunde belastet. Es traten 14 verworfene Pakete bei insgesamt 18440000 Paketen auf. Die Protokolldatei trägt die Bezeichnung EGS-NLO-0716-NET.</w:t>
      </w:r>
    </w:p>
    <w:tbl>
      <w:tblPr>
        <w:tblStyle w:val="TableGrid"/>
        <w:tblW w:type="auto" w:w="0"/>
        <w:jc w:val="left"/>
        <w:tblLayout w:type="fixed"/>
        <w:tblLook w:firstColumn="1" w:firstRow="1" w:lastColumn="0" w:lastRow="0" w:noHBand="0" w:noVBand="1" w:val="04A0"/>
      </w:tblPr>
      <w:tblGrid>
        <w:gridCol w:w="2353"/>
        <w:gridCol w:w="2353"/>
        <w:gridCol w:w="2353"/>
        <w:gridCol w:w="2353"/>
      </w:tblGrid>
      <w:tr>
        <w:trPr>
          <w:tblHeader w:val="true"/>
        </w:trPr>
        <w:tc>
          <w:tcPr>
            <w:tcW w:type="dxa" w:w="3061"/>
            <w:shd w:fill="E9EFF2"/>
          </w:tcPr>
          <w:p>
            <w:pPr>
              <w:spacing w:after="0"/>
            </w:pPr>
            <w:r>
              <w:rPr>
                <w:rFonts w:ascii="Arial" w:hAnsi="Arial"/>
                <w:b/>
                <w:sz w:val="17"/>
              </w:rPr>
              <w:t>Prüfschritt</w:t>
            </w:r>
          </w:p>
        </w:tc>
        <w:tc>
          <w:tcPr>
            <w:tcW w:type="dxa" w:w="2324"/>
            <w:shd w:fill="E9EFF2"/>
          </w:tcPr>
          <w:p>
            <w:pPr>
              <w:spacing w:after="0"/>
            </w:pPr>
            <w:r>
              <w:rPr>
                <w:rFonts w:ascii="Arial" w:hAnsi="Arial"/>
                <w:b/>
                <w:sz w:val="17"/>
              </w:rPr>
              <w:t>Soll</w:t>
            </w:r>
          </w:p>
        </w:tc>
        <w:tc>
          <w:tcPr>
            <w:tcW w:type="dxa" w:w="2721"/>
            <w:shd w:fill="E9EFF2"/>
          </w:tcPr>
          <w:p>
            <w:pPr>
              <w:spacing w:after="0"/>
            </w:pPr>
            <w:r>
              <w:rPr>
                <w:rFonts w:ascii="Arial" w:hAnsi="Arial"/>
                <w:b/>
                <w:sz w:val="17"/>
              </w:rPr>
              <w:t>Ist</w:t>
            </w:r>
          </w:p>
        </w:tc>
        <w:tc>
          <w:tcPr>
            <w:tcW w:type="dxa" w:w="1417"/>
            <w:shd w:fill="E9EFF2"/>
          </w:tcPr>
          <w:p>
            <w:pPr>
              <w:spacing w:after="0"/>
            </w:pPr>
            <w:r>
              <w:rPr>
                <w:rFonts w:ascii="Arial" w:hAnsi="Arial"/>
                <w:b/>
                <w:sz w:val="17"/>
              </w:rPr>
              <w:t>Zeit</w:t>
            </w:r>
          </w:p>
        </w:tc>
      </w:tr>
      <w:tr>
        <w:tc>
          <w:tcPr>
            <w:tcW w:type="dxa" w:w="3061"/>
            <w:vAlign w:val="top"/>
          </w:tcPr>
          <w:p>
            <w:pPr>
              <w:spacing w:after="0"/>
            </w:pPr>
            <w:r>
              <w:rPr>
                <w:rFonts w:ascii="Arial" w:hAnsi="Arial"/>
                <w:sz w:val="17"/>
              </w:rPr>
              <w:t>Antenne Elevation 5°</w:t>
            </w:r>
          </w:p>
        </w:tc>
        <w:tc>
          <w:tcPr>
            <w:tcW w:type="dxa" w:w="2324"/>
            <w:vAlign w:val="top"/>
          </w:tcPr>
          <w:p>
            <w:pPr>
              <w:spacing w:after="0"/>
            </w:pPr>
            <w:r>
              <w:rPr>
                <w:rFonts w:ascii="Arial" w:hAnsi="Arial"/>
                <w:sz w:val="17"/>
              </w:rPr>
              <w:t>Fehler &lt; 0,10°</w:t>
            </w:r>
          </w:p>
        </w:tc>
        <w:tc>
          <w:tcPr>
            <w:tcW w:type="dxa" w:w="2721"/>
            <w:vAlign w:val="top"/>
          </w:tcPr>
          <w:p>
            <w:pPr>
              <w:spacing w:after="0"/>
            </w:pPr>
            <w:r>
              <w:rPr>
                <w:rFonts w:ascii="Arial" w:hAnsi="Arial"/>
                <w:sz w:val="17"/>
              </w:rPr>
              <w:t>0,06° nach Anpassung</w:t>
            </w:r>
          </w:p>
        </w:tc>
        <w:tc>
          <w:tcPr>
            <w:tcW w:type="dxa" w:w="1417"/>
            <w:vAlign w:val="top"/>
          </w:tcPr>
          <w:p>
            <w:pPr>
              <w:spacing w:after="0"/>
            </w:pPr>
            <w:r>
              <w:rPr>
                <w:rFonts w:ascii="Arial" w:hAnsi="Arial"/>
                <w:sz w:val="17"/>
              </w:rPr>
              <w:t>10:42</w:t>
            </w:r>
          </w:p>
        </w:tc>
      </w:tr>
      <w:tr>
        <w:tc>
          <w:tcPr>
            <w:tcW w:type="dxa" w:w="3061"/>
            <w:vAlign w:val="top"/>
          </w:tcPr>
          <w:p>
            <w:pPr>
              <w:spacing w:after="0"/>
            </w:pPr>
            <w:r>
              <w:rPr>
                <w:rFonts w:ascii="Arial" w:hAnsi="Arial"/>
                <w:sz w:val="17"/>
              </w:rPr>
              <w:t>X-Band Datenpfad</w:t>
            </w:r>
          </w:p>
        </w:tc>
        <w:tc>
          <w:tcPr>
            <w:tcW w:type="dxa" w:w="2324"/>
            <w:vAlign w:val="top"/>
          </w:tcPr>
          <w:p>
            <w:pPr>
              <w:spacing w:after="0"/>
            </w:pPr>
            <w:r>
              <w:rPr>
                <w:rFonts w:ascii="Arial" w:hAnsi="Arial"/>
                <w:sz w:val="17"/>
              </w:rPr>
              <w:t>400 Mbit/s</w:t>
            </w:r>
          </w:p>
        </w:tc>
        <w:tc>
          <w:tcPr>
            <w:tcW w:type="dxa" w:w="2721"/>
            <w:vAlign w:val="top"/>
          </w:tcPr>
          <w:p>
            <w:pPr>
              <w:spacing w:after="0"/>
            </w:pPr>
            <w:r>
              <w:rPr>
                <w:rFonts w:ascii="Arial" w:hAnsi="Arial"/>
                <w:sz w:val="17"/>
              </w:rPr>
              <w:t>14 Paketverluste</w:t>
            </w:r>
          </w:p>
        </w:tc>
        <w:tc>
          <w:tcPr>
            <w:tcW w:type="dxa" w:w="1417"/>
            <w:vAlign w:val="top"/>
          </w:tcPr>
          <w:p>
            <w:pPr>
              <w:spacing w:after="0"/>
            </w:pPr>
            <w:r>
              <w:rPr>
                <w:rFonts w:ascii="Arial" w:hAnsi="Arial"/>
                <w:sz w:val="17"/>
              </w:rPr>
              <w:t>12:18</w:t>
            </w:r>
          </w:p>
        </w:tc>
      </w:tr>
      <w:tr>
        <w:tc>
          <w:tcPr>
            <w:tcW w:type="dxa" w:w="3061"/>
            <w:vAlign w:val="top"/>
          </w:tcPr>
          <w:p>
            <w:pPr>
              <w:spacing w:after="0"/>
            </w:pPr>
            <w:r>
              <w:rPr>
                <w:rFonts w:ascii="Arial" w:hAnsi="Arial"/>
                <w:sz w:val="17"/>
              </w:rPr>
              <w:t>S-Band Empfang</w:t>
            </w:r>
          </w:p>
        </w:tc>
        <w:tc>
          <w:tcPr>
            <w:tcW w:type="dxa" w:w="2324"/>
            <w:vAlign w:val="top"/>
          </w:tcPr>
          <w:p>
            <w:pPr>
              <w:spacing w:after="0"/>
            </w:pPr>
            <w:r>
              <w:rPr>
                <w:rFonts w:ascii="Arial" w:hAnsi="Arial"/>
                <w:sz w:val="17"/>
              </w:rPr>
              <w:t>-82 dBm</w:t>
            </w:r>
          </w:p>
        </w:tc>
        <w:tc>
          <w:tcPr>
            <w:tcW w:type="dxa" w:w="2721"/>
            <w:vAlign w:val="top"/>
          </w:tcPr>
          <w:p>
            <w:pPr>
              <w:spacing w:after="0"/>
            </w:pPr>
            <w:r>
              <w:rPr>
                <w:rFonts w:ascii="Arial" w:hAnsi="Arial"/>
                <w:sz w:val="17"/>
              </w:rPr>
              <w:t>-79,4 dBm</w:t>
            </w:r>
          </w:p>
        </w:tc>
        <w:tc>
          <w:tcPr>
            <w:tcW w:type="dxa" w:w="1417"/>
            <w:vAlign w:val="top"/>
          </w:tcPr>
          <w:p>
            <w:pPr>
              <w:spacing w:after="0"/>
            </w:pPr>
            <w:r>
              <w:rPr>
                <w:rFonts w:ascii="Arial" w:hAnsi="Arial"/>
                <w:sz w:val="17"/>
              </w:rPr>
              <w:t>14:06</w:t>
            </w:r>
          </w:p>
        </w:tc>
      </w:tr>
      <w:tr>
        <w:tc>
          <w:tcPr>
            <w:tcW w:type="dxa" w:w="3061"/>
            <w:vAlign w:val="top"/>
          </w:tcPr>
          <w:p>
            <w:pPr>
              <w:spacing w:after="0"/>
            </w:pPr>
            <w:r>
              <w:rPr>
                <w:rFonts w:ascii="Arial" w:hAnsi="Arial"/>
                <w:sz w:val="17"/>
              </w:rPr>
              <w:t>Ersatzstrom Versuch 2</w:t>
            </w:r>
          </w:p>
        </w:tc>
        <w:tc>
          <w:tcPr>
            <w:tcW w:type="dxa" w:w="2324"/>
            <w:vAlign w:val="top"/>
          </w:tcPr>
          <w:p>
            <w:pPr>
              <w:spacing w:after="0"/>
            </w:pPr>
            <w:r>
              <w:rPr>
                <w:rFonts w:ascii="Arial" w:hAnsi="Arial"/>
                <w:sz w:val="17"/>
              </w:rPr>
              <w:t>&lt; 2,5 s</w:t>
            </w:r>
          </w:p>
        </w:tc>
        <w:tc>
          <w:tcPr>
            <w:tcW w:type="dxa" w:w="2721"/>
            <w:vAlign w:val="top"/>
          </w:tcPr>
          <w:p>
            <w:pPr>
              <w:spacing w:after="0"/>
            </w:pPr>
            <w:r>
              <w:rPr>
                <w:rFonts w:ascii="Arial" w:hAnsi="Arial"/>
                <w:sz w:val="17"/>
              </w:rPr>
              <w:t>2,3 s</w:t>
            </w:r>
          </w:p>
        </w:tc>
        <w:tc>
          <w:tcPr>
            <w:tcW w:type="dxa" w:w="1417"/>
            <w:vAlign w:val="top"/>
          </w:tcPr>
          <w:p>
            <w:pPr>
              <w:spacing w:after="0"/>
            </w:pPr>
            <w:r>
              <w:rPr>
                <w:rFonts w:ascii="Arial" w:hAnsi="Arial"/>
                <w:sz w:val="17"/>
              </w:rPr>
              <w:t>16:22</w:t>
            </w:r>
          </w:p>
        </w:tc>
      </w:tr>
    </w:tbl>
    <w:p>
      <w:pPr>
        <w:spacing w:after="0"/>
      </w:pPr>
    </w:p>
    <w:p>
      <w:pPr>
        <w:pStyle w:val="Heading1"/>
      </w:pPr>
      <w:r>
        <w:t>4. Abweichungen</w:t>
      </w:r>
    </w:p>
    <w:p>
      <w:pPr>
        <w:widowControl/>
        <w:jc w:val="both"/>
      </w:pPr>
      <w:r>
        <w:t>Die automatische Umschaltung auf die Ersatzstromversorgung dauerte beim ersten Versuch 3,8 Sekunden statt der im Betriebshandbuch genannten 2,5 Sekunden. Der zweite Versuch nach Neustart der Steuerung ergab 2,3 Sekunden.</w:t>
      </w:r>
    </w:p>
    <w:p>
      <w:pPr>
        <w:widowControl/>
        <w:jc w:val="both"/>
      </w:pPr>
      <w:r>
        <w:t>Der Temperatursensor T-17 im Geräteraum zeigte durchgehend 1,6 Grad Celsius mehr als das Referenzthermometer. Eine Kalibrierung wurde für den 20. Juli 2026 beauftragt.</w:t>
      </w:r>
    </w:p>
    <w:p>
      <w:pPr>
        <w:pStyle w:val="Heading1"/>
      </w:pPr>
      <w:r>
        <w:t>5. Übergebene Daten</w:t>
      </w:r>
    </w:p>
    <w:p>
      <w:pPr>
        <w:widowControl/>
        <w:jc w:val="both"/>
      </w:pPr>
      <w:r>
        <w:t>Übergeben wurden die Rohprotokolle des Antennenlaufs, die Netzwerkmessung, die Spektrummitschnitte und 26 Fotografien der Gerätekonfiguration. Die Daten liegen im Verzeichnis EGS-NLO-0716 und wurden mit einer schriftlich dokumentierten Prüfsumme versehen.</w:t>
      </w:r>
    </w:p>
    <w:p>
      <w:pPr>
        <w:widowControl/>
        <w:jc w:val="both"/>
      </w:pPr>
      <w:r>
        <w:t>Nordlicht Orbit Systems GmbH erhielt um 17:31 Uhr eine verschlüsselte Kopie auf dem Datenträger NLO-USB-044. Das Übergabeformular wurde von Frau Römer und Herrn Yıldız unterzeichnet.</w:t>
      </w:r>
    </w:p>
    <w:p/>
    <w:p>
      <w:pPr>
        <w:keepLines/>
      </w:pPr>
      <w:r>
        <w:rPr>
          <w:rFonts w:ascii="Arial" w:hAnsi="Arial"/>
          <w:b/>
          <w:sz w:val="20"/>
        </w:rPr>
        <w:t>Antje Römer, Stationsleiterin</w:t>
        <w:br/>
      </w:r>
      <w:r>
        <w:rPr>
          <w:rFonts w:ascii="Arial" w:hAnsi="Arial"/>
          <w:sz w:val="20"/>
        </w:rPr>
        <w:t>Cem Yıldız, Flight Operations</w:t>
        <w:br/>
      </w:r>
      <w:r>
        <w:rPr>
          <w:rFonts w:ascii="Arial" w:hAnsi="Arial"/>
          <w:sz w:val="20"/>
        </w:rPr>
        <w:t>Stade, 16. Juli 2026</w:t>
      </w:r>
    </w:p>
    <w:sectPr w:rsidR="00FC693F" w:rsidRPr="0006063C" w:rsidSect="00034616">
      <w:headerReference w:type="default" r:id="rId9"/>
      <w:footerReference w:type="default" r:id="rId10"/>
      <w:pgSz w:w="11906" w:h="16838"/>
      <w:pgMar w:top="1191" w:right="1219" w:bottom="1020" w:left="1276"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7"/>
      </w:rPr>
      <w:t xml:space="preserve">Seite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192B3A"/>
        <w:sz w:val="18"/>
      </w:rPr>
      <w:t>Elbmarsch Ground Services GmbH</w:t>
    </w:r>
    <w:r>
      <w:rPr>
        <w:rFonts w:ascii="Arial" w:hAnsi="Arial"/>
        <w:color w:val="5B6770"/>
        <w:sz w:val="16"/>
      </w:rPr>
      <w:t xml:space="preserve">   |   Übergabeprotokoll EGS-NLO-0716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9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15B69"/>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92B3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92B3A"/>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