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Produktionsdossier Die letzte Rieslingspur</w:t>
      </w:r>
    </w:p>
    <w:p>
      <w:pPr>
        <w:pStyle w:val="Heading1"/>
      </w:pPr>
      <w:r>
        <w:t>1. Produktionsdaten</w:t>
      </w:r>
    </w:p>
    <w:p>
      <w:r>
        <w:rPr>
          <w:b/>
        </w:rPr>
        <w:t>Arbeitstitel:</w:t>
      </w:r>
      <w:r>
        <w:t xml:space="preserve"> Rieslingnacht. Finaler Titel: Die letzte Rieslingspur. Herstellungszeitraum: Februar 2023 bis März 2026. Hauptdreh: 7. Mai bis 28. Juni 2024. Nachdrehs: 17. und 18. Oktober 2024.</w:t>
      </w:r>
    </w:p>
    <w:p>
      <w:r>
        <w:rPr>
          <w:b/>
        </w:rPr>
        <w:t>Herstellungsbudget laut Abschlusskalkulation:</w:t>
      </w:r>
      <w:r>
        <w:t xml:space="preserve"> 3.480.600 EUR. Finanzierungsbestandteile: Bankdarlehen, regionale Filmförderung, Eigenmittel, Mindestgarantien von Verleih und Streamer sowie ein Koproduktionsbeitrag.</w:t>
      </w:r>
    </w:p>
    <w:p>
      <w:pPr>
        <w:pStyle w:val="Heading1"/>
      </w:pPr>
      <w:r>
        <w:t>2. Produktionsworkflow</w:t>
      </w:r>
    </w:p>
    <w:p>
      <w:r>
        <w:t>Kamerarohdaten wurden täglich auf zwei Shuttle-SSDs und ein Arbeits-RAID kopiert. Nach Bildsperre erzeugte Komet Postproduction ein DCP, ProRes-Mezzanine, IMF-Paket und zwei LTO-9-Sicherungen.</w:t>
      </w:r>
    </w:p>
    <w:p>
      <w:r>
        <w:t>Das Produktionsbüro erhielt LTO-KL-001 und das RAID-Gehäuse KL-RAID-02. Komet Postproduction verwahrte LTO-KL-002 zunächst als Sicherheitsexemplar. Ein verschlüsseltes IMF-Paket liegt zusätzlich im Cloud-Bucket kurpfalz-master-prod.</w:t>
      </w:r>
    </w:p>
    <w:p>
      <w:pPr>
        <w:pStyle w:val="Heading1"/>
      </w:pPr>
      <w:r>
        <w:t>3. Rechteunterlagen</w:t>
      </w:r>
    </w:p>
    <w:p>
      <w:r>
        <w:t>Die Produktionsleitung führte eine Rechtecheckliste. Genannt werden Romanoption, Drehbuch, Regie, Haupt- und Nebendarsteller, Musik, Archivmaterial, Kunstwerke im Bild, Drehgenehmigungen, Standfoto und Drohnenaufnahme.</w:t>
      </w:r>
    </w:p>
    <w:p>
      <w:r>
        <w:t>Im Abschlussordner fehlen nach Vermerk vom 9. Februar 2026 die Originalfreigabe des Jazz-Trios, eine gegengezeichnete Anlage B zum IP-Sicherungsvertrag und die Langfassung des Drohnenvertrags.</w:t>
      </w:r>
    </w:p>
    <w:p>
      <w:pPr>
        <w:pStyle w:val="Heading1"/>
      </w:pPr>
      <w:r>
        <w:t>4. Vertrieb</w:t>
      </w:r>
    </w:p>
    <w:p>
      <w:r>
        <w:t>Pfalzstern Filmverleih übernahm den deutschen Kinoverleih. Rheinbild Mediathek erhielt ein deutschsprachiges Streamingfenster. Südwest-Fernsehkontor erwarb zwei lineare Ausstrahlungen. Weitere Gebiete wurden auf Märkten angeboten, aber noch nicht verbindlich lizenziert.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Die letzte Rieslingspur – Filmrechte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Produktionsdossier Die letzte Rieslingspur</dc:title>
  <dc:subject>Die letzte Rieslingspur – Filmrechte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