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Sicherungsvertrag Film- und Nutzungsrechte</w:t>
      </w:r>
    </w:p>
    <w:p>
      <w:pPr>
        <w:pStyle w:val="Heading1"/>
      </w:pPr>
      <w:r>
        <w:t>1. Sicherungszweck</w:t>
      </w:r>
    </w:p>
    <w:p>
      <w:r>
        <w:t>Die Kurpfalz Lichtbild GmbH bestellt der Palatina Medienbank AG zur Sicherung sämtlicher gegenwärtiger und künftiger Ansprüche aus dem Produktionsdarlehensvertrag KLP-2024-0418 vom 18./19. April 2024, Darlehenskonto KD-2417-01, einschließlich wirksam einbezogener Nachträge, Zinsen, Gebühren und Verwertungskosten die in Anlage A und B bezeichneten Rechte und Rechtspositionen.</w:t>
      </w:r>
    </w:p>
    <w:p>
      <w:r>
        <w:t>Der Sicherungszweck endet erst nach vollständiger und endgültiger Befriedigung der gesicherten Ansprüche. Freigaben bedürfen einer Erklärung der Bank in Textform.</w:t>
      </w:r>
    </w:p>
    <w:p>
      <w:pPr>
        <w:pStyle w:val="Heading1"/>
      </w:pPr>
      <w:r>
        <w:t>2. Erfasste Positionen</w:t>
      </w:r>
    </w:p>
    <w:p>
      <w:r>
        <w:t>Erfasst werden nach dem Vertrag sämtliche der Sicherungsgeberin zustehenden ausschließlichen Nutzungsrechte am Filmprojekt, Rechte an Drehbuchfassungen und Bearbeitungen, Rechte des Filmherstellers, Rechte an Filmaufnahmen, Titel- und Kennzeichenpositionen sowie Ansprüche auf Herausgabe und Zugang zu produktionsbezogenen Unterlagen und Mastermaterialien, soweit übertragbar.</w:t>
      </w:r>
    </w:p>
    <w:p>
      <w:r>
        <w:t>Rechte, die nur einfach, zeitlich begrenzt oder unter Zustimmungsvorbehalt eingeräumt wurden, sollen nur in diesem Umfang erfasst sein. Nicht übertragbare höchstpersönliche Rechte werden ausdrücklich ausgenommen.</w:t>
      </w:r>
    </w:p>
    <w:p>
      <w:pPr>
        <w:pStyle w:val="Heading1"/>
      </w:pPr>
      <w:r>
        <w:t>3. Nutzung bis Sicherungsfall</w:t>
      </w:r>
    </w:p>
    <w:p>
      <w:r>
        <w:t>Bis zum Sicherungsfall darf die Sicherungsgeberin die Rechte im ordnungsgemäßen Geschäftsgang auswerten, Lizenzen erteilen und technisch bearbeiten. Verfügungen über das gesamte Projekt, ausschließliche Gebietslizenzen über zehn Jahre und weitere Sicherheiten bedürfen der vorherigen Zustimmung der Bank.</w:t>
      </w:r>
    </w:p>
    <w:p>
      <w:r>
        <w:t>Als Sicherungsfall gelten insbesondere Kündigung des Darlehens, Insolvenzantrag und wesentliche Gefährdung der Sicherheiten. Nach Sicherungsfall soll die Bank die Verwertung im eigenen Namen oder durch einen von ihr beauftragten Dritten durchführen dürfen.</w:t>
      </w:r>
    </w:p>
    <w:p>
      <w:pPr>
        <w:pStyle w:val="Heading1"/>
      </w:pPr>
      <w:r>
        <w:t>4. Mitwirkung und Unterlagen</w:t>
      </w:r>
    </w:p>
    <w:p>
      <w:r>
        <w:t>Die Sicherungsgeberin hält die Rechtekette, Verträge, Zustimmungen, Cue Sheets, Masterlisten und Zugangsdaten aktuell und stellt der Bank auf Verlangen Kopien bereit. Sie unterrichtet die Bank über Ansprüche von Rechtegebern und drohende Rechtsverluste.</w:t>
      </w:r>
    </w:p>
    <w:p>
      <w:pPr>
        <w:pStyle w:val="Heading1"/>
      </w:pPr>
      <w:r>
        <w:t>5. Anlage A</w:t>
      </w:r>
    </w:p>
    <w:p>
      <w:r>
        <w:t>Anlage A nennt das Projekt Die letzte Rieslingspur, Arbeitstitel Rieslingnacht, Drehbuchfassungen 1 bis 7, Filmaufnahmen, Schnittfassungen, Ton- und Musikbestandteile, Trailer, Standfotos, Artwork, Untertitel, Audiodeskription und die Rechte des Filmherstellers.</w:t>
      </w:r>
    </w:p>
    <w:p>
      <w:r>
        <w:t>Als Produktionskennzeichen wird KLP-2417 genannt. Verweise auf konkrete Verträge enthalten nur Datum und Vertragspartner, nicht immer die jeweilige Anlage oder Nachtragsfassung.</w:t>
      </w:r>
    </w:p>
    <w:p>
      <w:pPr>
        <w:pStyle w:val="Heading1"/>
      </w:pPr>
      <w:r>
        <w:t>6. Anlage B</w:t>
      </w:r>
    </w:p>
    <w:p>
      <w:r>
        <w:t>Anlage B soll nicht uneingeschränkt übertragbare Fremdrechte, Laufzeiten und Territorien aufführen. In der vorliegenden unterzeichneten Ausfertigung sind lediglich Romanvorlage und Archivmaterial als Zeilen angelegt; die Spalten Laufzeit und Zustimmung sind teilweise leer.</w:t>
      </w:r>
    </w:p>
    <w:p>
      <w:pPr>
        <w:pStyle w:val="Heading1"/>
      </w:pPr>
      <w:r>
        <w:t>7. Unterschriften</w:t>
      </w:r>
    </w:p>
    <w:p>
      <w:r>
        <w:t>Mannheim, 19. April 2024 — Palatina Medienbank AG, Bettina Karg und Hanno Seubert, handschriftlich unterzeichnet.</w:t>
      </w:r>
    </w:p>
    <w:p>
      <w:r>
        <w:t>Schwetzingen, 19. April 2024 — Kurpfalz Lichtbild GmbH, Konrad Riemenschneider, handschriftlich unterzeichnet.</w:t>
      </w:r>
    </w:p>
    <w:sectPr w:rsidR="00FC693F" w:rsidRPr="0006063C" w:rsidSect="00034616">
      <w:headerReference w:type="default" r:id="rId9"/>
      <w:footerReference w:type="default" r:id="rId10"/>
      <w:pgSz w:w="12240" w:h="15840"/>
      <w:pgMar w:top="1276" w:right="1219"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6064"/>
        <w:sz w:val="16"/>
      </w:rPr>
      <w:t>Die letzte Rieslingspur – Filmrechte in der Insolvenz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eastAsia="Times New Roman"/>
      <w:b/>
      <w:bCs/>
      <w:color w:val="183A55"/>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3C5365"/>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eastAsia="Times New Roman"/>
      <w:b/>
      <w:bCs/>
      <w:color w:val="3C536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Times New Roman" w:hAnsi="Times New Roman" w:eastAsia="Times New Roman"/>
      <w:b/>
      <w:color w:val="183A5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Sicherungsvertrag Film- und Nutzungsrechte</dc:title>
  <dc:subject>Die letzte Rieslingspur – Filmrechte in der Insolvenz</dc:subject>
  <dc:creator>Fiktive Aktenstelle</dc:creator>
  <cp:keywords>Urheberrecht, Immaterialgüterrecht, Insolvenzrecht</cp:keywords>
  <dc:description>generated by python-docx</dc:description>
  <cp:lastModifiedBy/>
  <cp:revision>1</cp:revision>
  <dcterms:created xsi:type="dcterms:W3CDTF">2026-10-23T09:00:00Z</dcterms:created>
  <dcterms:modified xsi:type="dcterms:W3CDTF">2026-10-23T09:00:00Z</dcterms:modified>
  <cp:category/>
</cp:coreProperties>
</file>