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Streaming-Lizenzvertrag Rheinbild Mediathek</w:t>
      </w:r>
    </w:p>
    <w:p>
      <w:pPr>
        <w:pStyle w:val="Heading1"/>
      </w:pPr>
      <w:r>
        <w:t>1. Lizenz</w:t>
      </w:r>
    </w:p>
    <w:p>
      <w:r>
        <w:t>Die Kurpfalz Lichtbild GmbH räumt der Rheinbild Mediathek GmbH am 18. August 2025 für Deutschland, Österreich und die Schweiz ein ausschließliches Streamingrecht im Abonnement- und werbefinanzierten Abrufdienst ein.</w:t>
      </w:r>
    </w:p>
    <w:p>
      <w:r>
        <w:t>Die Lizenzzeit beginnt am 1. April 2026 und endet am 31. März 2029. Kino-, lineare Sende-, Download-to-own- und physische Rechte bleiben unberührt.</w:t>
      </w:r>
    </w:p>
    <w:p>
      <w:pPr>
        <w:pStyle w:val="Heading1"/>
      </w:pPr>
      <w:r>
        <w:t>2. Vergütung</w:t>
      </w:r>
    </w:p>
    <w:p>
      <w:r>
        <w:rPr>
          <w:b/>
        </w:rPr>
        <w:t>Rheinbild zahlt eine Mindestgarantie von 360.000 EUR in vier Raten zu je 90.000 EUR:</w:t>
      </w:r>
      <w:r>
        <w:t xml:space="preserve"> bei Lieferung, zum Lizenzstart, am 1. April 2027 und am 1. April 2028. Zusätzlich sind nutzungsabhängige Erlöse nach Überschreiten der Mindestgarantie abzurechnen.</w:t>
      </w:r>
    </w:p>
    <w:p>
      <w:r>
        <w:t>Rheinbild kann dokumentierte Kosten für technische Nachlieferungen bis 12.000 EUR verrechnen. Die Rate zum Lizenzstart wurde am 6. April 2026 gezahlt.</w:t>
      </w:r>
    </w:p>
    <w:p>
      <w:pPr>
        <w:pStyle w:val="Heading1"/>
      </w:pPr>
      <w:r>
        <w:t>3. Rechtegarantie und Lieferung</w:t>
      </w:r>
    </w:p>
    <w:p>
      <w:r>
        <w:t>Die Lizenzgeberin gewährleistet im Vertrag, die eingeräumten Rechte für die Lizenzzeit ausüben zu dürfen. Für Archivmaterial mit kürzerer Laufzeit soll sie rechtzeitig Verlängerungen beschaffen oder eine ersatzweise Fassung liefern.</w:t>
      </w:r>
    </w:p>
    <w:p>
      <w:r>
        <w:t>Geliefert werden ein ProRes-Mezzanine, M&amp;E, deutsche Untertitel, Audiodeskription, Standfotos und Metadaten. Rheinbild bestätigt technischen Erhalt am 3. April 2026.</w:t>
      </w:r>
    </w:p>
    <w:p>
      <w:pPr>
        <w:pStyle w:val="Heading1"/>
      </w:pPr>
      <w:r>
        <w:t>4. Übertragung</w:t>
      </w:r>
    </w:p>
    <w:p>
      <w:r>
        <w:t>Rheinbild darf den Vertrag auf verbundene Plattformgesellschaften übertragen. Eine Übertragung der Lizenzgeberstellung bedarf der vorherigen Zustimmung von Rheinbild, die nicht unbillig verweigert werden darf.</w:t>
      </w:r>
    </w:p>
    <w:p>
      <w:r>
        <w:t>Sicherungsabtretungen von Zahlungsforderungen sind zulässig; eine Abtretungsanzeige soll den Zahlungsweg eindeutig bezeichnen.</w:t>
      </w:r>
    </w:p>
    <w:p>
      <w:pPr>
        <w:pStyle w:val="Heading1"/>
      </w:pPr>
      <w:r>
        <w:t>5. Unterschriften</w:t>
      </w:r>
    </w:p>
    <w:p>
      <w:r>
        <w:t>Heidelberg, 18. August 2025 — Rheinbild Mediathek GmbH, Saskia Thoma, handschriftlich unterzeichnet.</w:t>
      </w:r>
    </w:p>
    <w:p>
      <w:r>
        <w:t>Schwetzingen, 18. August 2025 — Kurpfalz Lichtbild GmbH, Konrad Riemenschneider, handschriftlich unterzeichnet.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76" w:right="1219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6064"/>
        <w:sz w:val="16"/>
      </w:rPr>
      <w:t>Die letzte Rieslingspur – Filmrechte in der Insolvenz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83A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83A5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Streaming-Lizenzvertrag Rheinbild Mediathek</dc:title>
  <dc:subject>Die letzte Rieslingspur – Filmrechte in der Insolvenz</dc:subject>
  <dc:creator>Fiktive Aktenstelle</dc:creator>
  <cp:keywords>Urheberrecht, Immaterialgüterrecht, Insolvenzrecht</cp:keywords>
  <dc:description>generated by python-docx</dc:description>
  <cp:lastModifiedBy/>
  <cp:revision>1</cp:revision>
  <dcterms:created xsi:type="dcterms:W3CDTF">2026-10-23T09:00:00Z</dcterms:created>
  <dcterms:modified xsi:type="dcterms:W3CDTF">2026-10-23T09:00:00Z</dcterms:modified>
  <cp:category/>
</cp:coreProperties>
</file>