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Interne Fallnotiz der Bank zum Sachstand</w:t>
      </w:r>
    </w:p>
    <w:p>
      <w:pPr>
        <w:pStyle w:val="Heading1"/>
      </w:pPr>
      <w:r>
        <w:t>1. Anlass und Auftrag</w:t>
      </w:r>
    </w:p>
    <w:p>
      <w:r>
        <w:rPr>
          <w:b/>
        </w:rPr>
        <w:t>Bearbeiterin:</w:t>
      </w:r>
      <w:r>
        <w:t xml:space="preserve"> Silke Brandt, Restrukturierung. Stand der Notiz: 22. Oktober 2026, 07:30 Uhr. Die Notiz bündelt den bislang bekannten tatsächlichen Ablauf und ersetzt keine rechtliche Prüfung.</w:t>
      </w:r>
    </w:p>
    <w:p>
      <w:r>
        <w:t>Die Bank möchte bis spätestens 26. Oktober eine geordnete Rechte- und Dokumentenmatrix, eine Liste der ungeklärten Tatsachen und einen Überblick über mögliche nächste Schritte erhalten.</w:t>
      </w:r>
    </w:p>
    <w:p>
      <w:pPr>
        <w:pStyle w:val="Heading1"/>
      </w:pPr>
      <w:r>
        <w:t>2. Kredit und Sicherheiten</w:t>
      </w:r>
    </w:p>
    <w:p>
      <w:r>
        <w:t>Die Bank gewährte der Kurpfalz Taxware GmbH im März 2023 ein Investitionsdarlehen über 2.400.000 EUR. Die Valuta diente laut Verwendungsnachweis der Cloud-Migration, der Entwicklung des Mittelstandsmoduls und dem Vertriebsausbau.</w:t>
      </w:r>
    </w:p>
    <w:p>
      <w:r>
        <w:t>Zeitgleich wurde ein Sicherungsvertrag zu Software-Nutzungsrechten unterzeichnet. Im Februar 2024 folgte eine separate Globalzession gegenwärtiger und künftiger Forderungen aus Softwarelizenz, Pflege und Support. Der operative Zahlungsverkehr lief weiterhin über Konten der Schuldnerin.</w:t>
      </w:r>
    </w:p>
    <w:p>
      <w:pPr>
        <w:pStyle w:val="Heading1"/>
      </w:pPr>
      <w:r>
        <w:t>3. Insolvenz und Verwertung</w:t>
      </w:r>
    </w:p>
    <w:p>
      <w:r>
        <w:t>Am 15. September 2026 eröffnete das Amtsgericht Heidelberg das Insolvenzverfahren und bestellte Dr. Friederike Mohn zur Insolvenzverwalterin. Am 21. Oktober ging bei der Bank eine E-Mail mit einem am 19. Oktober unterzeichneten APA ein.</w:t>
      </w:r>
    </w:p>
    <w:p>
      <w:r>
        <w:t>Die Verwalterin kündigt den Vollzug zum 28. Oktober an. Die Bank war weder an den Vertragsverhandlungen beteiligt noch hat sie nach dem internen Posteingang bislang eine Freigabe- oder Verzichtserklärung abgegeben.</w:t>
      </w:r>
    </w:p>
    <w:p>
      <w:pPr>
        <w:pStyle w:val="Heading1"/>
      </w:pPr>
      <w:r>
        <w:t>4. Technische Hinweise aus dem ersten Datenraumabruf</w:t>
      </w:r>
    </w:p>
    <w:p>
      <w:r>
        <w:t>Die Produktfamilie wird teils als FiscusPilot, teils als TaxEngine, KanzleiCloud oder LedgerFlow bezeichnet. Die Repository-Liste umfasst sechs aktive und zwei archivierte Projekte. Ein Freelancer-Vertrag aus 2017 und fünf Arbeitsverträge liegen vor.</w:t>
      </w:r>
    </w:p>
    <w:p>
      <w:r>
        <w:t>Ein automatisierter Lizenzscan vom 7. Oktober markiert drei Komponenten zur manuellen Prüfung. Die Bank hat keinen eigenen Zugriff auf Quellcode oder Build-Systeme; vorliegend sind Exportlisten und PDF-Auszüge.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76" w:right="1219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 xml:space="preserve">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5A6064"/>
        <w:sz w:val="16"/>
      </w:rPr>
      <w:t>FiscusPilot – Software-IP in der Insolvenz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83A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C53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83A5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 Fallnotiz der Bank zum Sachstand</dc:title>
  <dc:subject>FiscusPilot – Software-IP in der Insolvenz</dc:subject>
  <dc:creator>Fiktive Aktenstelle</dc:creator>
  <cp:keywords>Urheberrecht, Immaterialgüterrecht, Insolvenzrecht</cp:keywords>
  <dc:description>generated by python-docx</dc:description>
  <cp:lastModifiedBy/>
  <cp:revision>1</cp:revision>
  <dcterms:created xsi:type="dcterms:W3CDTF">2026-10-23T09:00:00Z</dcterms:created>
  <dcterms:modified xsi:type="dcterms:W3CDTF">2026-10-23T09:00:00Z</dcterms:modified>
  <cp:category/>
</cp:coreProperties>
</file>