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Technische Notiz zu Open-Source-Befunden</w:t>
      </w:r>
    </w:p>
    <w:p>
      <w:pPr>
        <w:pStyle w:val="Heading1"/>
      </w:pPr>
      <w:r>
        <w:t>1. Metadaten</w:t>
      </w:r>
    </w:p>
    <w:p>
      <w:r>
        <w:t>Erstellt von Meike Lorenz, CodeAudit Süd GmbH, am 8. Oktober 2026 auf Grundlage eines Dateisystem-Scans der am 6. Oktober bereitgestellten Repository-Exporte. Die Notiz beschreibt technische Funde; eine lizenzrechtliche Einordnung war nicht Gegenstand des Auftrags.</w:t>
      </w:r>
    </w:p>
    <w:p>
      <w:pPr>
        <w:pStyle w:val="Heading1"/>
      </w:pPr>
      <w:r>
        <w:t>2. Ghostscript wrapper</w:t>
      </w:r>
    </w:p>
    <w:p>
      <w:r>
        <w:t>Im Repository fiscuspilot-core liegt unter services/pdf-merge/vendor die Datei gs-wrapper.jar. Die enthaltene Lizenzdatei bezeichnet Version 1.2.0 und AGPL-3.0-only. In der Containerdefinition wird die Datei in ein Image kopiert; aus den vorliegenden Exporten ist nicht sicher erkennbar, ob dieses Image nur in der Build-Umgebung oder auch in Kundenumgebungen betrieben wird.</w:t>
      </w:r>
    </w:p>
    <w:p>
      <w:r>
        <w:t>Das Engineering-Team teilte im Scan-Call mit, der Dienst sei nach einem Pilotversuch im Jahr 2025 deaktiviert worden. Ein Deployment-Manifest mit deaktivierter Variable liegt vor; die vollständigen produktiven Pipeline-Logs wurden nicht bereitgestellt.</w:t>
      </w:r>
    </w:p>
    <w:p>
      <w:pPr>
        <w:pStyle w:val="Heading1"/>
      </w:pPr>
      <w:r>
        <w:t>3. FormKit helpers und ReceiptCam</w:t>
      </w:r>
    </w:p>
    <w:p>
      <w:r>
        <w:t>Mehrere Dateien im Webformular-Verzeichnis tragen einen MIT-Hinweis und nennen Jonas Eberle als ursprünglichen Autor. Die Ähnlichkeit zu einem öffentlich erreichbaren früheren Repository wurde im Scan nicht anhand der Commit-Historie bewertet.</w:t>
      </w:r>
    </w:p>
    <w:p>
      <w:r>
        <w:t>Der mobile Zuschnittcode ist Nina Scholl zugeordnet. Ein automatisierter Fremdcodeabgleich ergab keinen eindeutigen Pakettreffer. In der Personalakte wird jedoch eine private Vorarbeit ReceiptCam erwähnt.</w:t>
      </w:r>
    </w:p>
    <w:p>
      <w:pPr>
        <w:pStyle w:val="Heading1"/>
      </w:pPr>
      <w:r>
        <w:t>4. Historischer Regelkern</w:t>
      </w:r>
    </w:p>
    <w:p>
      <w:r>
        <w:t>BinderRules enthält überwiegend Quelltexte ohne SPDX-Header. Kommentare nennen Lukas Binder, TaxEngine Classic und in späteren Dateien Dr. Lena Vogt. Die Dateien wurden über mehrere Repositories verschoben; ein gemeinsamer Ursprungs-Commit ist im Export nicht vollständig erhalten.</w:t>
      </w:r>
    </w:p>
    <w:p>
      <w:pPr>
        <w:pStyle w:val="Heading1"/>
      </w:pPr>
      <w:r>
        <w:t>5. Noch benötigte technische Belege</w:t>
      </w:r>
    </w:p>
    <w:p>
      <w:r>
        <w:t>Benötigt werden die produktiven Deployment-Logs für pdf-merge, die vollständigen Git-Bundles mit Tags, die im Arbeitsvertrag Eberle genannte FormKit-Anlage, die ReceiptCam-Anlage aus der Personalakte sowie der ursprüngliche Export des taxengine-legacy-Repositories.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FiscusPilot – Software-IP in der Insolvenz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 Notiz zu Open-Source-Befunden</dc:title>
  <dc:subject>FiscusPilot – Software-IP in der Insolvenz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