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Purchase Agreement Kurpfalz Taxware / Weinberg Digital</w:t>
      </w:r>
    </w:p>
    <w:tbl>
      <w:tblPr>
        <w:tblStyle w:val="TableGrid"/>
        <w:tblW w:type="auto" w:w="0"/>
        <w:tblLayout w:type="autofit"/>
        <w:tblLook w:firstColumn="1" w:firstRow="1" w:lastColumn="0" w:lastRow="0" w:noHBand="0" w:noVBand="1" w:val="04A0"/>
      </w:tblPr>
      <w:tblGrid>
        <w:gridCol w:w="1938"/>
        <w:gridCol w:w="1938"/>
        <w:gridCol w:w="1938"/>
        <w:gridCol w:w="1938"/>
        <w:gridCol w:w="1938"/>
      </w:tblGrid>
      <w:tr>
        <w:trPr>
          <w:tblHeader w:val="true"/>
        </w:trPr>
        <w:tc>
          <w:tcPr>
            <w:tcW w:type="dxa" w:w="1938"/>
            <w:shd w:fill="DCE6ED"/>
            <w:vAlign w:val="center"/>
          </w:tcPr>
          <w:p>
            <w:r>
              <w:rPr>
                <w:rFonts w:ascii="Times New Roman" w:hAnsi="Times New Roman"/>
                <w:b/>
                <w:sz w:val="18"/>
              </w:rPr>
              <w:t>Position</w:t>
            </w:r>
          </w:p>
        </w:tc>
        <w:tc>
          <w:tcPr>
            <w:tcW w:type="dxa" w:w="1938"/>
            <w:shd w:fill="DCE6ED"/>
            <w:vAlign w:val="center"/>
          </w:tcPr>
          <w:p>
            <w:r>
              <w:rPr>
                <w:rFonts w:ascii="Times New Roman" w:hAnsi="Times New Roman"/>
                <w:b/>
                <w:sz w:val="18"/>
              </w:rPr>
              <w:t>Gegenstand</w:t>
            </w:r>
          </w:p>
        </w:tc>
        <w:tc>
          <w:tcPr>
            <w:tcW w:type="dxa" w:w="1938"/>
            <w:shd w:fill="DCE6ED"/>
            <w:vAlign w:val="center"/>
          </w:tcPr>
          <w:p>
            <w:r>
              <w:rPr>
                <w:rFonts w:ascii="Times New Roman" w:hAnsi="Times New Roman"/>
                <w:b/>
                <w:sz w:val="18"/>
              </w:rPr>
              <w:t>Fundstelle</w:t>
            </w:r>
          </w:p>
        </w:tc>
        <w:tc>
          <w:tcPr>
            <w:tcW w:type="dxa" w:w="1938"/>
            <w:shd w:fill="DCE6ED"/>
            <w:vAlign w:val="center"/>
          </w:tcPr>
          <w:p>
            <w:r>
              <w:rPr>
                <w:rFonts w:ascii="Times New Roman" w:hAnsi="Times New Roman"/>
                <w:b/>
                <w:sz w:val="18"/>
              </w:rPr>
              <w:t>Übertragungsweg</w:t>
            </w:r>
          </w:p>
        </w:tc>
        <w:tc>
          <w:tcPr>
            <w:tcW w:type="dxa" w:w="1938"/>
            <w:shd w:fill="DCE6ED"/>
            <w:vAlign w:val="center"/>
          </w:tcPr>
          <w:p>
            <w:r>
              <w:rPr>
                <w:rFonts w:ascii="Times New Roman" w:hAnsi="Times New Roman"/>
                <w:b/>
                <w:sz w:val="18"/>
              </w:rPr>
              <w:t>Offener Hinweis</w:t>
            </w:r>
          </w:p>
        </w:tc>
      </w:tr>
      <w:tr>
        <w:tc>
          <w:tcPr>
            <w:tcW w:type="dxa" w:w="1938"/>
            <w:vAlign w:val="top"/>
          </w:tcPr>
          <w:p>
            <w:r>
              <w:rPr>
                <w:rFonts w:ascii="Times New Roman" w:hAnsi="Times New Roman"/>
                <w:sz w:val="18"/>
              </w:rPr>
              <w:t>2.1.1</w:t>
            </w:r>
          </w:p>
        </w:tc>
        <w:tc>
          <w:tcPr>
            <w:tcW w:type="dxa" w:w="1938"/>
            <w:vAlign w:val="top"/>
          </w:tcPr>
          <w:p>
            <w:r>
              <w:rPr>
                <w:rFonts w:ascii="Times New Roman" w:hAnsi="Times New Roman"/>
                <w:sz w:val="18"/>
              </w:rPr>
              <w:t>FiscusPilot Core/TaxEngine einschließlich legacy</w:t>
            </w:r>
          </w:p>
        </w:tc>
        <w:tc>
          <w:tcPr>
            <w:tcW w:type="dxa" w:w="1938"/>
            <w:vAlign w:val="top"/>
          </w:tcPr>
          <w:p>
            <w:r>
              <w:rPr>
                <w:rFonts w:ascii="Times New Roman" w:hAnsi="Times New Roman"/>
                <w:sz w:val="18"/>
              </w:rPr>
              <w:t>GitLab Bundle</w:t>
            </w:r>
          </w:p>
        </w:tc>
        <w:tc>
          <w:tcPr>
            <w:tcW w:type="dxa" w:w="1938"/>
            <w:vAlign w:val="top"/>
          </w:tcPr>
          <w:p>
            <w:r>
              <w:rPr>
                <w:rFonts w:ascii="Times New Roman" w:hAnsi="Times New Roman"/>
                <w:sz w:val="18"/>
              </w:rPr>
              <w:t>Rechtseinräumung und Datenübergabe</w:t>
            </w:r>
          </w:p>
        </w:tc>
        <w:tc>
          <w:tcPr>
            <w:tcW w:type="dxa" w:w="1938"/>
            <w:vAlign w:val="top"/>
          </w:tcPr>
          <w:p>
            <w:r>
              <w:rPr>
                <w:rFonts w:ascii="Times New Roman" w:hAnsi="Times New Roman"/>
                <w:sz w:val="18"/>
              </w:rPr>
              <w:t>BinderRules/Vorbestand</w:t>
            </w:r>
          </w:p>
        </w:tc>
      </w:tr>
      <w:tr>
        <w:tc>
          <w:tcPr>
            <w:tcW w:type="dxa" w:w="1938"/>
            <w:vAlign w:val="top"/>
          </w:tcPr>
          <w:p>
            <w:r>
              <w:rPr>
                <w:rFonts w:ascii="Times New Roman" w:hAnsi="Times New Roman"/>
                <w:sz w:val="18"/>
              </w:rPr>
              <w:t>2.1.2</w:t>
            </w:r>
          </w:p>
        </w:tc>
        <w:tc>
          <w:tcPr>
            <w:tcW w:type="dxa" w:w="1938"/>
            <w:vAlign w:val="top"/>
          </w:tcPr>
          <w:p>
            <w:r>
              <w:rPr>
                <w:rFonts w:ascii="Times New Roman" w:hAnsi="Times New Roman"/>
                <w:sz w:val="18"/>
              </w:rPr>
              <w:t>FiscusPilot Web</w:t>
            </w:r>
          </w:p>
        </w:tc>
        <w:tc>
          <w:tcPr>
            <w:tcW w:type="dxa" w:w="1938"/>
            <w:vAlign w:val="top"/>
          </w:tcPr>
          <w:p>
            <w:r>
              <w:rPr>
                <w:rFonts w:ascii="Times New Roman" w:hAnsi="Times New Roman"/>
                <w:sz w:val="18"/>
              </w:rPr>
              <w:t>GitLab Bundle</w:t>
            </w:r>
          </w:p>
        </w:tc>
        <w:tc>
          <w:tcPr>
            <w:tcW w:type="dxa" w:w="1938"/>
            <w:vAlign w:val="top"/>
          </w:tcPr>
          <w:p>
            <w:r>
              <w:rPr>
                <w:rFonts w:ascii="Times New Roman" w:hAnsi="Times New Roman"/>
                <w:sz w:val="18"/>
              </w:rPr>
              <w:t>Rechtseinräumung und Datenübergabe</w:t>
            </w:r>
          </w:p>
        </w:tc>
        <w:tc>
          <w:tcPr>
            <w:tcW w:type="dxa" w:w="1938"/>
            <w:vAlign w:val="top"/>
          </w:tcPr>
          <w:p>
            <w:r>
              <w:rPr>
                <w:rFonts w:ascii="Times New Roman" w:hAnsi="Times New Roman"/>
                <w:sz w:val="18"/>
              </w:rPr>
              <w:t>FormKit-Anlage</w:t>
            </w:r>
          </w:p>
        </w:tc>
      </w:tr>
      <w:tr>
        <w:tc>
          <w:tcPr>
            <w:tcW w:type="dxa" w:w="1938"/>
            <w:vAlign w:val="top"/>
          </w:tcPr>
          <w:p>
            <w:r>
              <w:rPr>
                <w:rFonts w:ascii="Times New Roman" w:hAnsi="Times New Roman"/>
                <w:sz w:val="18"/>
              </w:rPr>
              <w:t>2.1.3</w:t>
            </w:r>
          </w:p>
        </w:tc>
        <w:tc>
          <w:tcPr>
            <w:tcW w:type="dxa" w:w="1938"/>
            <w:vAlign w:val="top"/>
          </w:tcPr>
          <w:p>
            <w:r>
              <w:rPr>
                <w:rFonts w:ascii="Times New Roman" w:hAnsi="Times New Roman"/>
                <w:sz w:val="18"/>
              </w:rPr>
              <w:t>LedgerFlow</w:t>
            </w:r>
          </w:p>
        </w:tc>
        <w:tc>
          <w:tcPr>
            <w:tcW w:type="dxa" w:w="1938"/>
            <w:vAlign w:val="top"/>
          </w:tcPr>
          <w:p>
            <w:r>
              <w:rPr>
                <w:rFonts w:ascii="Times New Roman" w:hAnsi="Times New Roman"/>
                <w:sz w:val="18"/>
              </w:rPr>
              <w:t>GitLab Bundle</w:t>
            </w:r>
          </w:p>
        </w:tc>
        <w:tc>
          <w:tcPr>
            <w:tcW w:type="dxa" w:w="1938"/>
            <w:vAlign w:val="top"/>
          </w:tcPr>
          <w:p>
            <w:r>
              <w:rPr>
                <w:rFonts w:ascii="Times New Roman" w:hAnsi="Times New Roman"/>
                <w:sz w:val="18"/>
              </w:rPr>
              <w:t>Rechtseinräumung und Datenübergabe</w:t>
            </w:r>
          </w:p>
        </w:tc>
        <w:tc>
          <w:tcPr>
            <w:tcW w:type="dxa" w:w="1938"/>
            <w:vAlign w:val="top"/>
          </w:tcPr>
          <w:p>
            <w:r>
              <w:rPr>
                <w:rFonts w:ascii="Times New Roman" w:hAnsi="Times New Roman"/>
                <w:sz w:val="18"/>
              </w:rPr>
              <w:t>LedgerLens-Anlage</w:t>
            </w:r>
          </w:p>
        </w:tc>
      </w:tr>
      <w:tr>
        <w:tc>
          <w:tcPr>
            <w:tcW w:type="dxa" w:w="1938"/>
            <w:vAlign w:val="top"/>
          </w:tcPr>
          <w:p>
            <w:r>
              <w:rPr>
                <w:rFonts w:ascii="Times New Roman" w:hAnsi="Times New Roman"/>
                <w:sz w:val="18"/>
              </w:rPr>
              <w:t>2.1.4</w:t>
            </w:r>
          </w:p>
        </w:tc>
        <w:tc>
          <w:tcPr>
            <w:tcW w:type="dxa" w:w="1938"/>
            <w:vAlign w:val="top"/>
          </w:tcPr>
          <w:p>
            <w:r>
              <w:rPr>
                <w:rFonts w:ascii="Times New Roman" w:hAnsi="Times New Roman"/>
                <w:sz w:val="18"/>
              </w:rPr>
              <w:t>Receipt Capture</w:t>
            </w:r>
          </w:p>
        </w:tc>
        <w:tc>
          <w:tcPr>
            <w:tcW w:type="dxa" w:w="1938"/>
            <w:vAlign w:val="top"/>
          </w:tcPr>
          <w:p>
            <w:r>
              <w:rPr>
                <w:rFonts w:ascii="Times New Roman" w:hAnsi="Times New Roman"/>
                <w:sz w:val="18"/>
              </w:rPr>
              <w:t>GitLab Bundle</w:t>
            </w:r>
          </w:p>
        </w:tc>
        <w:tc>
          <w:tcPr>
            <w:tcW w:type="dxa" w:w="1938"/>
            <w:vAlign w:val="top"/>
          </w:tcPr>
          <w:p>
            <w:r>
              <w:rPr>
                <w:rFonts w:ascii="Times New Roman" w:hAnsi="Times New Roman"/>
                <w:sz w:val="18"/>
              </w:rPr>
              <w:t>Rechtseinräumung und Datenübergabe</w:t>
            </w:r>
          </w:p>
        </w:tc>
        <w:tc>
          <w:tcPr>
            <w:tcW w:type="dxa" w:w="1938"/>
            <w:vAlign w:val="top"/>
          </w:tcPr>
          <w:p>
            <w:r>
              <w:rPr>
                <w:rFonts w:ascii="Times New Roman" w:hAnsi="Times New Roman"/>
                <w:sz w:val="18"/>
              </w:rPr>
              <w:t>ReceiptCam-Anlage</w:t>
            </w:r>
          </w:p>
        </w:tc>
      </w:tr>
      <w:tr>
        <w:tc>
          <w:tcPr>
            <w:tcW w:type="dxa" w:w="1938"/>
            <w:vAlign w:val="top"/>
          </w:tcPr>
          <w:p>
            <w:r>
              <w:rPr>
                <w:rFonts w:ascii="Times New Roman" w:hAnsi="Times New Roman"/>
                <w:sz w:val="18"/>
              </w:rPr>
              <w:t>2.1.5</w:t>
            </w:r>
          </w:p>
        </w:tc>
        <w:tc>
          <w:tcPr>
            <w:tcW w:type="dxa" w:w="1938"/>
            <w:vAlign w:val="top"/>
          </w:tcPr>
          <w:p>
            <w:r>
              <w:rPr>
                <w:rFonts w:ascii="Times New Roman" w:hAnsi="Times New Roman"/>
                <w:sz w:val="18"/>
              </w:rPr>
              <w:t>Plattform- und Deploymentcode</w:t>
            </w:r>
          </w:p>
        </w:tc>
        <w:tc>
          <w:tcPr>
            <w:tcW w:type="dxa" w:w="1938"/>
            <w:vAlign w:val="top"/>
          </w:tcPr>
          <w:p>
            <w:r>
              <w:rPr>
                <w:rFonts w:ascii="Times New Roman" w:hAnsi="Times New Roman"/>
                <w:sz w:val="18"/>
              </w:rPr>
              <w:t>GitLab/Registry</w:t>
            </w:r>
          </w:p>
        </w:tc>
        <w:tc>
          <w:tcPr>
            <w:tcW w:type="dxa" w:w="1938"/>
            <w:vAlign w:val="top"/>
          </w:tcPr>
          <w:p>
            <w:r>
              <w:rPr>
                <w:rFonts w:ascii="Times New Roman" w:hAnsi="Times New Roman"/>
                <w:sz w:val="18"/>
              </w:rPr>
              <w:t>Daten- und Zugangübergabe</w:t>
            </w:r>
          </w:p>
        </w:tc>
        <w:tc>
          <w:tcPr>
            <w:tcW w:type="dxa" w:w="1938"/>
            <w:vAlign w:val="top"/>
          </w:tcPr>
          <w:p>
            <w:r>
              <w:rPr>
                <w:rFonts w:ascii="Times New Roman" w:hAnsi="Times New Roman"/>
                <w:sz w:val="18"/>
              </w:rPr>
              <w:t>HSM separat</w:t>
            </w:r>
          </w:p>
        </w:tc>
      </w:tr>
      <w:tr>
        <w:tc>
          <w:tcPr>
            <w:tcW w:type="dxa" w:w="1938"/>
            <w:vAlign w:val="top"/>
          </w:tcPr>
          <w:p>
            <w:r>
              <w:rPr>
                <w:rFonts w:ascii="Times New Roman" w:hAnsi="Times New Roman"/>
                <w:sz w:val="18"/>
              </w:rPr>
              <w:t>2.1.6</w:t>
            </w:r>
          </w:p>
        </w:tc>
        <w:tc>
          <w:tcPr>
            <w:tcW w:type="dxa" w:w="1938"/>
            <w:vAlign w:val="top"/>
          </w:tcPr>
          <w:p>
            <w:r>
              <w:rPr>
                <w:rFonts w:ascii="Times New Roman" w:hAnsi="Times New Roman"/>
                <w:sz w:val="18"/>
              </w:rPr>
              <w:t>Marke FiscusPilot</w:t>
            </w:r>
          </w:p>
        </w:tc>
        <w:tc>
          <w:tcPr>
            <w:tcW w:type="dxa" w:w="1938"/>
            <w:vAlign w:val="top"/>
          </w:tcPr>
          <w:p>
            <w:r>
              <w:rPr>
                <w:rFonts w:ascii="Times New Roman" w:hAnsi="Times New Roman"/>
                <w:sz w:val="18"/>
              </w:rPr>
              <w:t>DE 302019114477</w:t>
            </w:r>
          </w:p>
        </w:tc>
        <w:tc>
          <w:tcPr>
            <w:tcW w:type="dxa" w:w="1938"/>
            <w:vAlign w:val="top"/>
          </w:tcPr>
          <w:p>
            <w:r>
              <w:rPr>
                <w:rFonts w:ascii="Times New Roman" w:hAnsi="Times New Roman"/>
                <w:sz w:val="18"/>
              </w:rPr>
              <w:t>Übertragungserklärung</w:t>
            </w:r>
          </w:p>
        </w:tc>
        <w:tc>
          <w:tcPr>
            <w:tcW w:type="dxa" w:w="1938"/>
            <w:vAlign w:val="top"/>
          </w:tcPr>
          <w:p>
            <w:r>
              <w:rPr>
                <w:rFonts w:ascii="Times New Roman" w:hAnsi="Times New Roman"/>
                <w:sz w:val="18"/>
              </w:rPr>
              <w:t>Registerumschreibung</w:t>
            </w:r>
          </w:p>
        </w:tc>
      </w:tr>
      <w:tr>
        <w:tc>
          <w:tcPr>
            <w:tcW w:type="dxa" w:w="1938"/>
            <w:vAlign w:val="top"/>
          </w:tcPr>
          <w:p>
            <w:r>
              <w:rPr>
                <w:rFonts w:ascii="Times New Roman" w:hAnsi="Times New Roman"/>
                <w:sz w:val="18"/>
              </w:rPr>
              <w:t>2.1.7</w:t>
            </w:r>
          </w:p>
        </w:tc>
        <w:tc>
          <w:tcPr>
            <w:tcW w:type="dxa" w:w="1938"/>
            <w:vAlign w:val="top"/>
          </w:tcPr>
          <w:p>
            <w:r>
              <w:rPr>
                <w:rFonts w:ascii="Times New Roman" w:hAnsi="Times New Roman"/>
                <w:sz w:val="18"/>
              </w:rPr>
              <w:t>Domains</w:t>
            </w:r>
          </w:p>
        </w:tc>
        <w:tc>
          <w:tcPr>
            <w:tcW w:type="dxa" w:w="1938"/>
            <w:vAlign w:val="top"/>
          </w:tcPr>
          <w:p>
            <w:r>
              <w:rPr>
                <w:rFonts w:ascii="Times New Roman" w:hAnsi="Times New Roman"/>
                <w:sz w:val="18"/>
              </w:rPr>
              <w:t>Providerliste</w:t>
            </w:r>
          </w:p>
        </w:tc>
        <w:tc>
          <w:tcPr>
            <w:tcW w:type="dxa" w:w="1938"/>
            <w:vAlign w:val="top"/>
          </w:tcPr>
          <w:p>
            <w:r>
              <w:rPr>
                <w:rFonts w:ascii="Times New Roman" w:hAnsi="Times New Roman"/>
                <w:sz w:val="18"/>
              </w:rPr>
              <w:t>Auth-Codes</w:t>
            </w:r>
          </w:p>
        </w:tc>
        <w:tc>
          <w:tcPr>
            <w:tcW w:type="dxa" w:w="1938"/>
            <w:vAlign w:val="top"/>
          </w:tcPr>
          <w:p>
            <w:r>
              <w:rPr>
                <w:rFonts w:ascii="Times New Roman" w:hAnsi="Times New Roman"/>
                <w:sz w:val="18"/>
              </w:rPr>
              <w:t>Providerfreigaben</w:t>
            </w:r>
          </w:p>
        </w:tc>
      </w:tr>
      <w:tr>
        <w:tc>
          <w:tcPr>
            <w:tcW w:type="dxa" w:w="1938"/>
            <w:vAlign w:val="top"/>
          </w:tcPr>
          <w:p>
            <w:r>
              <w:rPr>
                <w:rFonts w:ascii="Times New Roman" w:hAnsi="Times New Roman"/>
                <w:sz w:val="18"/>
              </w:rPr>
              <w:t>2.1.8</w:t>
            </w:r>
          </w:p>
        </w:tc>
        <w:tc>
          <w:tcPr>
            <w:tcW w:type="dxa" w:w="1938"/>
            <w:vAlign w:val="top"/>
          </w:tcPr>
          <w:p>
            <w:r>
              <w:rPr>
                <w:rFonts w:ascii="Times New Roman" w:hAnsi="Times New Roman"/>
                <w:sz w:val="18"/>
              </w:rPr>
              <w:t>Kunden- und Supportdokumentation</w:t>
            </w:r>
          </w:p>
        </w:tc>
        <w:tc>
          <w:tcPr>
            <w:tcW w:type="dxa" w:w="1938"/>
            <w:vAlign w:val="top"/>
          </w:tcPr>
          <w:p>
            <w:r>
              <w:rPr>
                <w:rFonts w:ascii="Times New Roman" w:hAnsi="Times New Roman"/>
                <w:sz w:val="18"/>
              </w:rPr>
              <w:t>Confluence Export</w:t>
            </w:r>
          </w:p>
        </w:tc>
        <w:tc>
          <w:tcPr>
            <w:tcW w:type="dxa" w:w="1938"/>
            <w:vAlign w:val="top"/>
          </w:tcPr>
          <w:p>
            <w:r>
              <w:rPr>
                <w:rFonts w:ascii="Times New Roman" w:hAnsi="Times New Roman"/>
                <w:sz w:val="18"/>
              </w:rPr>
              <w:t>Datenübergabe</w:t>
            </w:r>
          </w:p>
        </w:tc>
        <w:tc>
          <w:tcPr>
            <w:tcW w:type="dxa" w:w="1938"/>
            <w:vAlign w:val="top"/>
          </w:tcPr>
          <w:p>
            <w:r>
              <w:rPr>
                <w:rFonts w:ascii="Times New Roman" w:hAnsi="Times New Roman"/>
                <w:sz w:val="18"/>
              </w:rPr>
              <w:t>Autorenliste</w:t>
            </w:r>
          </w:p>
        </w:tc>
      </w:tr>
    </w:tbl>
    <w:p/>
    <w:tbl>
      <w:tblPr>
        <w:tblStyle w:val="TableGrid"/>
        <w:tblW w:type="auto" w:w="0"/>
        <w:tblLayout w:type="autofit"/>
        <w:tblLook w:firstColumn="1" w:firstRow="1" w:lastColumn="0" w:lastRow="0" w:noHBand="0" w:noVBand="1" w:val="04A0"/>
      </w:tblPr>
      <w:tblGrid>
        <w:gridCol w:w="2422"/>
        <w:gridCol w:w="2422"/>
        <w:gridCol w:w="2422"/>
        <w:gridCol w:w="2422"/>
      </w:tblGrid>
      <w:tr>
        <w:trPr>
          <w:tblHeader w:val="true"/>
        </w:trPr>
        <w:tc>
          <w:tcPr>
            <w:tcW w:type="dxa" w:w="2422"/>
            <w:shd w:fill="DCE6ED"/>
            <w:vAlign w:val="center"/>
          </w:tcPr>
          <w:p>
            <w:r>
              <w:rPr>
                <w:rFonts w:ascii="Times New Roman" w:hAnsi="Times New Roman"/>
                <w:b/>
                <w:sz w:val="18"/>
              </w:rPr>
              <w:t>ID</w:t>
            </w:r>
          </w:p>
        </w:tc>
        <w:tc>
          <w:tcPr>
            <w:tcW w:type="dxa" w:w="2422"/>
            <w:shd w:fill="DCE6ED"/>
            <w:vAlign w:val="center"/>
          </w:tcPr>
          <w:p>
            <w:r>
              <w:rPr>
                <w:rFonts w:ascii="Times New Roman" w:hAnsi="Times New Roman"/>
                <w:b/>
                <w:sz w:val="18"/>
              </w:rPr>
              <w:t>Dokument/Punkt</w:t>
            </w:r>
          </w:p>
        </w:tc>
        <w:tc>
          <w:tcPr>
            <w:tcW w:type="dxa" w:w="2422"/>
            <w:shd w:fill="DCE6ED"/>
            <w:vAlign w:val="center"/>
          </w:tcPr>
          <w:p>
            <w:r>
              <w:rPr>
                <w:rFonts w:ascii="Times New Roman" w:hAnsi="Times New Roman"/>
                <w:b/>
                <w:sz w:val="18"/>
              </w:rPr>
              <w:t>Datenraum</w:t>
            </w:r>
          </w:p>
        </w:tc>
        <w:tc>
          <w:tcPr>
            <w:tcW w:type="dxa" w:w="2422"/>
            <w:shd w:fill="DCE6ED"/>
            <w:vAlign w:val="center"/>
          </w:tcPr>
          <w:p>
            <w:r>
              <w:rPr>
                <w:rFonts w:ascii="Times New Roman" w:hAnsi="Times New Roman"/>
                <w:b/>
                <w:sz w:val="18"/>
              </w:rPr>
              <w:t>Kenntnisnahme Käuferin</w:t>
            </w:r>
          </w:p>
        </w:tc>
      </w:tr>
      <w:tr>
        <w:tc>
          <w:tcPr>
            <w:tcW w:type="dxa" w:w="2422"/>
            <w:vAlign w:val="top"/>
          </w:tcPr>
          <w:p>
            <w:r>
              <w:rPr>
                <w:rFonts w:ascii="Times New Roman" w:hAnsi="Times New Roman"/>
                <w:sz w:val="18"/>
              </w:rPr>
              <w:t>D-01</w:t>
            </w:r>
          </w:p>
        </w:tc>
        <w:tc>
          <w:tcPr>
            <w:tcW w:type="dxa" w:w="2422"/>
            <w:vAlign w:val="top"/>
          </w:tcPr>
          <w:p>
            <w:r>
              <w:rPr>
                <w:rFonts w:ascii="Times New Roman" w:hAnsi="Times New Roman"/>
                <w:sz w:val="18"/>
              </w:rPr>
              <w:t>IP-Sicherungsvertrag Rhenus Kreditbank 15.03.2023</w:t>
            </w:r>
          </w:p>
        </w:tc>
        <w:tc>
          <w:tcPr>
            <w:tcW w:type="dxa" w:w="2422"/>
            <w:vAlign w:val="top"/>
          </w:tcPr>
          <w:p>
            <w:r>
              <w:rPr>
                <w:rFonts w:ascii="Times New Roman" w:hAnsi="Times New Roman"/>
                <w:sz w:val="18"/>
              </w:rPr>
              <w:t>Finance/03</w:t>
            </w:r>
          </w:p>
        </w:tc>
        <w:tc>
          <w:tcPr>
            <w:tcW w:type="dxa" w:w="2422"/>
            <w:vAlign w:val="top"/>
          </w:tcPr>
          <w:p>
            <w:r>
              <w:rPr>
                <w:rFonts w:ascii="Times New Roman" w:hAnsi="Times New Roman"/>
                <w:sz w:val="18"/>
              </w:rPr>
              <w:t>Q&amp;A-Antwort 14.10.</w:t>
            </w:r>
          </w:p>
        </w:tc>
      </w:tr>
      <w:tr>
        <w:tc>
          <w:tcPr>
            <w:tcW w:type="dxa" w:w="2422"/>
            <w:vAlign w:val="top"/>
          </w:tcPr>
          <w:p>
            <w:r>
              <w:rPr>
                <w:rFonts w:ascii="Times New Roman" w:hAnsi="Times New Roman"/>
                <w:sz w:val="18"/>
              </w:rPr>
              <w:t>D-02</w:t>
            </w:r>
          </w:p>
        </w:tc>
        <w:tc>
          <w:tcPr>
            <w:tcW w:type="dxa" w:w="2422"/>
            <w:vAlign w:val="top"/>
          </w:tcPr>
          <w:p>
            <w:r>
              <w:rPr>
                <w:rFonts w:ascii="Times New Roman" w:hAnsi="Times New Roman"/>
                <w:sz w:val="18"/>
              </w:rPr>
              <w:t>Sicherungsabtretung Forderungen 01.02.2024</w:t>
            </w:r>
          </w:p>
        </w:tc>
        <w:tc>
          <w:tcPr>
            <w:tcW w:type="dxa" w:w="2422"/>
            <w:vAlign w:val="top"/>
          </w:tcPr>
          <w:p>
            <w:r>
              <w:rPr>
                <w:rFonts w:ascii="Times New Roman" w:hAnsi="Times New Roman"/>
                <w:sz w:val="18"/>
              </w:rPr>
              <w:t>Finance/04</w:t>
            </w:r>
          </w:p>
        </w:tc>
        <w:tc>
          <w:tcPr>
            <w:tcW w:type="dxa" w:w="2422"/>
            <w:vAlign w:val="top"/>
          </w:tcPr>
          <w:p>
            <w:r>
              <w:rPr>
                <w:rFonts w:ascii="Times New Roman" w:hAnsi="Times New Roman"/>
                <w:sz w:val="18"/>
              </w:rPr>
              <w:t>Q&amp;A-Antwort 14.10.</w:t>
            </w:r>
          </w:p>
        </w:tc>
      </w:tr>
      <w:tr>
        <w:tc>
          <w:tcPr>
            <w:tcW w:type="dxa" w:w="2422"/>
            <w:vAlign w:val="top"/>
          </w:tcPr>
          <w:p>
            <w:r>
              <w:rPr>
                <w:rFonts w:ascii="Times New Roman" w:hAnsi="Times New Roman"/>
                <w:sz w:val="18"/>
              </w:rPr>
              <w:t>D-03</w:t>
            </w:r>
          </w:p>
        </w:tc>
        <w:tc>
          <w:tcPr>
            <w:tcW w:type="dxa" w:w="2422"/>
            <w:vAlign w:val="top"/>
          </w:tcPr>
          <w:p>
            <w:r>
              <w:rPr>
                <w:rFonts w:ascii="Times New Roman" w:hAnsi="Times New Roman"/>
                <w:sz w:val="18"/>
              </w:rPr>
              <w:t>Freelancer Binder samt Anlage</w:t>
            </w:r>
          </w:p>
        </w:tc>
        <w:tc>
          <w:tcPr>
            <w:tcW w:type="dxa" w:w="2422"/>
            <w:vAlign w:val="top"/>
          </w:tcPr>
          <w:p>
            <w:r>
              <w:rPr>
                <w:rFonts w:ascii="Times New Roman" w:hAnsi="Times New Roman"/>
                <w:sz w:val="18"/>
              </w:rPr>
              <w:t>HR/IP/08-09</w:t>
            </w:r>
          </w:p>
        </w:tc>
        <w:tc>
          <w:tcPr>
            <w:tcW w:type="dxa" w:w="2422"/>
            <w:vAlign w:val="top"/>
          </w:tcPr>
          <w:p>
            <w:r>
              <w:rPr>
                <w:rFonts w:ascii="Times New Roman" w:hAnsi="Times New Roman"/>
                <w:sz w:val="18"/>
              </w:rPr>
              <w:t>Tech Call 12.10.</w:t>
            </w:r>
          </w:p>
        </w:tc>
      </w:tr>
      <w:tr>
        <w:tc>
          <w:tcPr>
            <w:tcW w:type="dxa" w:w="2422"/>
            <w:vAlign w:val="top"/>
          </w:tcPr>
          <w:p>
            <w:r>
              <w:rPr>
                <w:rFonts w:ascii="Times New Roman" w:hAnsi="Times New Roman"/>
                <w:sz w:val="18"/>
              </w:rPr>
              <w:t>D-04</w:t>
            </w:r>
          </w:p>
        </w:tc>
        <w:tc>
          <w:tcPr>
            <w:tcW w:type="dxa" w:w="2422"/>
            <w:vAlign w:val="top"/>
          </w:tcPr>
          <w:p>
            <w:r>
              <w:rPr>
                <w:rFonts w:ascii="Times New Roman" w:hAnsi="Times New Roman"/>
                <w:sz w:val="18"/>
              </w:rPr>
              <w:t>Personalakten-Auszüge fünf Entwickler</w:t>
            </w:r>
          </w:p>
        </w:tc>
        <w:tc>
          <w:tcPr>
            <w:tcW w:type="dxa" w:w="2422"/>
            <w:vAlign w:val="top"/>
          </w:tcPr>
          <w:p>
            <w:r>
              <w:rPr>
                <w:rFonts w:ascii="Times New Roman" w:hAnsi="Times New Roman"/>
                <w:sz w:val="18"/>
              </w:rPr>
              <w:t>HR/IP/01-07</w:t>
            </w:r>
          </w:p>
        </w:tc>
        <w:tc>
          <w:tcPr>
            <w:tcW w:type="dxa" w:w="2422"/>
            <w:vAlign w:val="top"/>
          </w:tcPr>
          <w:p>
            <w:r>
              <w:rPr>
                <w:rFonts w:ascii="Times New Roman" w:hAnsi="Times New Roman"/>
                <w:sz w:val="18"/>
              </w:rPr>
              <w:t>Q&amp;A 15.10.</w:t>
            </w:r>
          </w:p>
        </w:tc>
      </w:tr>
      <w:tr>
        <w:tc>
          <w:tcPr>
            <w:tcW w:type="dxa" w:w="2422"/>
            <w:vAlign w:val="top"/>
          </w:tcPr>
          <w:p>
            <w:r>
              <w:rPr>
                <w:rFonts w:ascii="Times New Roman" w:hAnsi="Times New Roman"/>
                <w:sz w:val="18"/>
              </w:rPr>
              <w:t>D-05</w:t>
            </w:r>
          </w:p>
        </w:tc>
        <w:tc>
          <w:tcPr>
            <w:tcW w:type="dxa" w:w="2422"/>
            <w:vAlign w:val="top"/>
          </w:tcPr>
          <w:p>
            <w:r>
              <w:rPr>
                <w:rFonts w:ascii="Times New Roman" w:hAnsi="Times New Roman"/>
                <w:sz w:val="18"/>
              </w:rPr>
              <w:t>OSS-Scan mit offenen Befunden</w:t>
            </w:r>
          </w:p>
        </w:tc>
        <w:tc>
          <w:tcPr>
            <w:tcW w:type="dxa" w:w="2422"/>
            <w:vAlign w:val="top"/>
          </w:tcPr>
          <w:p>
            <w:r>
              <w:rPr>
                <w:rFonts w:ascii="Times New Roman" w:hAnsi="Times New Roman"/>
                <w:sz w:val="18"/>
              </w:rPr>
              <w:t>Tech/OSS/06-07</w:t>
            </w:r>
          </w:p>
        </w:tc>
        <w:tc>
          <w:tcPr>
            <w:tcW w:type="dxa" w:w="2422"/>
            <w:vAlign w:val="top"/>
          </w:tcPr>
          <w:p>
            <w:r>
              <w:rPr>
                <w:rFonts w:ascii="Times New Roman" w:hAnsi="Times New Roman"/>
                <w:sz w:val="18"/>
              </w:rPr>
              <w:t>Q&amp;A 15.10.</w:t>
            </w:r>
          </w:p>
        </w:tc>
      </w:tr>
      <w:tr>
        <w:tc>
          <w:tcPr>
            <w:tcW w:type="dxa" w:w="2422"/>
            <w:vAlign w:val="top"/>
          </w:tcPr>
          <w:p>
            <w:r>
              <w:rPr>
                <w:rFonts w:ascii="Times New Roman" w:hAnsi="Times New Roman"/>
                <w:sz w:val="18"/>
              </w:rPr>
              <w:t>D-06</w:t>
            </w:r>
          </w:p>
        </w:tc>
        <w:tc>
          <w:tcPr>
            <w:tcW w:type="dxa" w:w="2422"/>
            <w:vAlign w:val="top"/>
          </w:tcPr>
          <w:p>
            <w:r>
              <w:rPr>
                <w:rFonts w:ascii="Times New Roman" w:hAnsi="Times New Roman"/>
                <w:sz w:val="18"/>
              </w:rPr>
              <w:t>Kundenvertragsmatrix</w:t>
            </w:r>
          </w:p>
        </w:tc>
        <w:tc>
          <w:tcPr>
            <w:tcW w:type="dxa" w:w="2422"/>
            <w:vAlign w:val="top"/>
          </w:tcPr>
          <w:p>
            <w:r>
              <w:rPr>
                <w:rFonts w:ascii="Times New Roman" w:hAnsi="Times New Roman"/>
                <w:sz w:val="18"/>
              </w:rPr>
              <w:t>Commercial/04</w:t>
            </w:r>
          </w:p>
        </w:tc>
        <w:tc>
          <w:tcPr>
            <w:tcW w:type="dxa" w:w="2422"/>
            <w:vAlign w:val="top"/>
          </w:tcPr>
          <w:p>
            <w:r>
              <w:rPr>
                <w:rFonts w:ascii="Times New Roman" w:hAnsi="Times New Roman"/>
                <w:sz w:val="18"/>
              </w:rPr>
              <w:t>Commercial Call 16.10.</w:t>
            </w:r>
          </w:p>
        </w:tc>
      </w:tr>
    </w:tbl>
    <w:p/>
    <w:p>
      <w:pPr>
        <w:pStyle w:val="Heading1"/>
      </w:pPr>
      <w:r>
        <w:t>1. Vertragsparteien</w:t>
      </w:r>
    </w:p>
    <w:p>
      <w:r>
        <w:t>Dieser Asset Purchase Agreement wird am 19. Oktober 2026 geschlossen zwischen Rechtsanwältin Dr. Friederike Mohn, handelnd ausschließlich als Insolvenzverwalterin über das Vermögen der Kurpfalz Taxware GmbH, als Verkäuferin, und der Weinberg Digital Solutions GmbH, Weinstraße 61, 67146 Deidesheim, vertreten durch Geschäftsführer Leonhard Kern, als Käuferin.</w:t>
      </w:r>
    </w:p>
    <w:p>
      <w:pPr>
        <w:pStyle w:val="Heading1"/>
      </w:pPr>
      <w:r>
        <w:t>2. Präambel</w:t>
      </w:r>
    </w:p>
    <w:p>
      <w:r>
        <w:t>Über das Vermögen der Kurpfalz Taxware GmbH wurde am 15. September 2026 das Insolvenzverfahren eröffnet. Die Verkäuferin führt das Softwaregeschäft FiscusPilot fort und hat einen strukturierten Investorenprozess durchgeführt.</w:t>
      </w:r>
    </w:p>
    <w:p>
      <w:r>
        <w:t>Die Käuferin beabsichtigt, die in diesem Vertrag bestimmten Vermögensgegenstände und den operativen Geschäftsbetrieb zu übernehmen. Der Gläubigerausschuss hat dem Abschluss nach dem beigefügten Protokoll am 19. Oktober 2026 zugestimmt.</w:t>
      </w:r>
    </w:p>
    <w:p>
      <w:pPr>
        <w:pStyle w:val="Heading1"/>
      </w:pPr>
      <w:r>
        <w:t>3. Kaufgegenstände</w:t>
      </w:r>
    </w:p>
    <w:p>
      <w:r>
        <w:t>Die Verkäuferin verkauft an die Käuferin mit wirtschaftlicher Wirkung zum Vollzugstag die in Anlage 2.1 bezeichnete Software, Quell- und Objektcodes, Dokumentationen, Build- und Testbestände, Produktnamen, die Marke FiscusPilot, Domains, Websites, Vertrags- und Kundenunterlagen, Supportwissen, ausgewählte Hardware sowie sonstige ausdrücklich bezeichnete betriebliche Unterlagen.</w:t>
      </w:r>
    </w:p>
    <w:p>
      <w:r>
        <w:t>Rechtspositionen werden jeweils in dem Umfang verkauft und übertragen, in dem sie der Masse zustehen, übertragbar sind und die Verkäuferin darüber verfügen kann. Bei fortbestehenden Mitwirkungs- oder Zustimmungserfordernissen gilt Abschnitt 9.</w:t>
      </w:r>
    </w:p>
    <w:p>
      <w:pPr>
        <w:pStyle w:val="Heading1"/>
      </w:pPr>
      <w:r>
        <w:t>4. Ausgenommene Gegenstände</w:t>
      </w:r>
    </w:p>
    <w:p>
      <w:r>
        <w:t>Nicht verkauft werden Bankguthaben, Kassenbestände, Steuererstattungsansprüche, Ansprüche aus Insolvenzanfechtung, Organhaftungsansprüche, gesellschaftsrechtliche Beteiligungen, nicht in Anlage 2.1 bezeichnete Forderungen sowie Bücher und Unterlagen, die die Verkäuferin zur Verfahrensführung benötigt.</w:t>
      </w:r>
    </w:p>
    <w:p>
      <w:r>
        <w:t>Personenbezogene Daten werden nur im gesetzlich zulässigen und zur Vertragsdurchführung erforderlichen Umfang übergeben. Sicherungskopien für gesetzliche Aufbewahrungspflichten dürfen bei der Verkäuferin verbleiben.</w:t>
      </w:r>
    </w:p>
    <w:p>
      <w:pPr>
        <w:pStyle w:val="Heading1"/>
      </w:pPr>
      <w:r>
        <w:t>5. Kundenverträge und Vertragsangebote</w:t>
      </w:r>
    </w:p>
    <w:p>
      <w:r>
        <w:t>Die Käuferin übernimmt die in Anlage 5.1 aufgeführten Kundenverträge mit Wirkung zum Vollzugstag, soweit die jeweilige Vertragsübernahme wirksam vollzogen werden kann. Die Parteien versenden abgestimmte Kundenmitteilungen und holen erforderliche Zustimmungen ein.</w:t>
      </w:r>
    </w:p>
    <w:p>
      <w:r>
        <w:t>Bis zur wirksamen Überleitung eines Vertrags führt die Verkäuferin ihn, soweit rechtlich und tatsächlich möglich, im wirtschaftlichen Interesse und auf Rechnung der Käuferin fort. Eine solche Zwischenführung endet spätestens am 31. Januar 2027, sofern die Parteien keine schriftliche Verlängerung vereinbaren.</w:t>
      </w:r>
    </w:p>
    <w:p>
      <w:pPr>
        <w:pStyle w:val="Heading1"/>
      </w:pPr>
      <w:r>
        <w:t>6. Forderungen und Verbindlichkeiten</w:t>
      </w:r>
    </w:p>
    <w:p>
      <w:r>
        <w:t>Die Käuferin erwirbt nur die in Anlage 6.1 einzeln aufgeführten Forderungen für Leistungszeiträume ab dem Vollzugstag. Forderungen für frühere Leistungszeiträume und sonstige Insolvenzforderungen oder Masseforderungen verbleiben bei der Verkäuferin, soweit Anlage 6.1 nichts Abweichendes festhält.</w:t>
      </w:r>
    </w:p>
    <w:p>
      <w:r>
        <w:t>Die Käuferin übernimmt ausschließlich die in Anlage 6.2 bezeichneten Verpflichtungen, insbesondere laufende Hosting- und Supportpflichten ab dem Vollzugstag sowie ausgewählte Urlaubs- und Zeitguthaben. Andere Verbindlichkeiten werden nicht rechtsgeschäftlich übernommen.</w:t>
      </w:r>
    </w:p>
    <w:p>
      <w:pPr>
        <w:pStyle w:val="Heading1"/>
      </w:pPr>
      <w:r>
        <w:t>7. Kaufpreis und Zuordnung</w:t>
      </w:r>
    </w:p>
    <w:p>
      <w:r>
        <w:t>Der Gesamtkaufpreis beträgt 1.850.000,00 EUR. Davon entfallen nach der vertraglichen Zuordnung 1.050.000,00 EUR auf Software und Dokumentation, 360.000,00 EUR auf Kundenbeziehungen und Vertragspositionen, 140.000,00 EUR auf Marke, Domains und Goodwill, 80.000,00 EUR auf Hardware und 220.000,00 EUR auf Übergangs- und Fortführungswerte.</w:t>
      </w:r>
    </w:p>
    <w:p>
      <w:r>
        <w:t>Ein Betrag von 150.000,00 EUR wird bis 31. Januar 2027 auf einem Anderkonto zurückbehalten und nach den Regelungen zu fehlenden Kundenüberleitungen und nicht übergebenen technischen Schlüsseln abgerechnet.</w:t>
      </w:r>
    </w:p>
    <w:p>
      <w:pPr>
        <w:pStyle w:val="Heading1"/>
      </w:pPr>
      <w:r>
        <w:t>8. Kaufpreiszahlung</w:t>
      </w:r>
    </w:p>
    <w:p>
      <w:r>
        <w:rPr>
          <w:b/>
        </w:rPr>
        <w:t>1.700.000,00 EUR sind spätestens am Vollzugstag um 12:</w:t>
      </w:r>
      <w:r>
        <w:t>00 Uhr auf das in der Closing-Notice bezeichnete Anderkonto der Verkäuferin zu zahlen. Der zurückbehaltene Betrag ist zeitgleich auf das gesonderte Anderkonto einzuzahlen. Zahlung an andere Konten erfüllt die Kaufpreispflicht nicht.</w:t>
      </w:r>
    </w:p>
    <w:p>
      <w:pPr>
        <w:pStyle w:val="Heading1"/>
      </w:pPr>
      <w:r>
        <w:t>9. Zustimmungen und nicht sofort übertragbare Positionen</w:t>
      </w:r>
    </w:p>
    <w:p>
      <w:r>
        <w:t>Soweit eine Zustimmung, Freigabe oder Mitwirkung eines Kunden, Lizenzgebers, Sicherheitennehmers, Providers oder sonstigen Dritten erforderlich ist, wirken die Parteien auf deren Erhalt hin. Das wirtschaftliche Ergebnis soll bis dahin durch zulässige Zwischenregelungen abgebildet werden; keine Partei ist verpflichtet, an unzulässigen Handlungen mitzuwirken.</w:t>
      </w:r>
    </w:p>
    <w:p>
      <w:r>
        <w:t>Die Käuferin ist über die in Anlage 9.2 aufgeführten Hinweise auf Sicherheitenverträge der Rhenus Kreditbank AG, Vorbestandsklauseln, Open-Source-Befunde und unvollständige Kundenanlagen informiert. Die rechtlichen Standpunkte der Verkäuferin, der Bank und Dritter werden durch diese Kenntnisnahme nicht festgelegt.</w:t>
      </w:r>
    </w:p>
    <w:p>
      <w:pPr>
        <w:pStyle w:val="Heading1"/>
      </w:pPr>
      <w:r>
        <w:t>10. Technische Übergabe</w:t>
      </w:r>
    </w:p>
    <w:p>
      <w:r>
        <w:t>Am Vollzugstag werden Git-Bundles, Container-Manifeste, Dokumentationsarchive, Administrationskonten, Domain-Transfercodes und die in Anlage 10.1 bezeichneten Geräte übergeben. Signatur- und HSM-Zugänge werden in einem gesonderten Vier-Augen-Termin protokolliert.</w:t>
      </w:r>
    </w:p>
    <w:p>
      <w:r>
        <w:t>Für jeden Export werden Dateigröße, Zeitstempel und SHA-256-Hash festgehalten. Die Verkäuferin behält eine versiegelte Kopie für Verfahrens- und Nachweiszwecke.</w:t>
      </w:r>
    </w:p>
    <w:p>
      <w:pPr>
        <w:pStyle w:val="Heading1"/>
      </w:pPr>
      <w:r>
        <w:t>11. Beschäftigte</w:t>
      </w:r>
    </w:p>
    <w:p>
      <w:r>
        <w:t>Die Käuferin plant, den in Anlage 11.1 bezeichneten 17 Beschäftigten eine Fortsetzung ihrer Tätigkeit zu den dort beschriebenen Konditionen anzubieten beziehungsweise gesetzliche Übergänge zu berücksichtigen. Die Parteien erfüllen die jeweils anwendbaren Informations- und Beteiligungspflichten.</w:t>
      </w:r>
    </w:p>
    <w:p>
      <w:r>
        <w:t>Individuelle Erklärungen der Beschäftigten zur Fortsetzung, zu Vorbeständen oder zu Nebentätigkeiten werden durch diesen Vertrag nicht ersetzt.</w:t>
      </w:r>
    </w:p>
    <w:p>
      <w:pPr>
        <w:pStyle w:val="Heading1"/>
      </w:pPr>
      <w:r>
        <w:t>12. Vollzugsvoraussetzungen</w:t>
      </w:r>
    </w:p>
    <w:p>
      <w:r>
        <w:t>Vollzugsvoraussetzungen sind die Zustimmung des Gläubigerausschusses, Eingang der ersten Kaufpreisrate, Unterzeichnung der Übergangsleistungsvereinbarung, Vorliegen einer kartellrechtlichen Unbedenklichkeitserklärung, soweit erforderlich, und kein gerichtliches Verbot des Vollzugs.</w:t>
      </w:r>
    </w:p>
    <w:p>
      <w:r>
        <w:t>Eine Freigabeerklärung der Rhenus Kreditbank AG wird in der von beiden Parteien unterzeichneten Fassung nicht als eigene Vollzugsvoraussetzung aufgeführt. Anlage 12.2 führt die Klärung der Bankposition als offenen Vollzugspunkt der Verkäuferin.</w:t>
      </w:r>
    </w:p>
    <w:p>
      <w:pPr>
        <w:pStyle w:val="Heading1"/>
      </w:pPr>
      <w:r>
        <w:t>13. Vollzugshandlungen</w:t>
      </w:r>
    </w:p>
    <w:p>
      <w:r>
        <w:rPr>
          <w:b/>
        </w:rPr>
        <w:t>Der Vollzug ist für den 28. Oktober 2026 um 14:</w:t>
      </w:r>
      <w:r>
        <w:t>00 Uhr vorgesehen. Die Parteien tauschen eine Closing-Notice, Kaufpreisbestätigung, Übergabeprotokolle, Kundenmitteilungen, Domain-Transfers, Schlüsselprotokolle und die aktualisierten Anlagen aus. Der Vollzug wird durch beiderseitig unterzeichnete Closing Minutes festgestellt.</w:t>
      </w:r>
    </w:p>
    <w:p>
      <w:pPr>
        <w:pStyle w:val="Heading1"/>
      </w:pPr>
      <w:r>
        <w:t>14. Kenntnisstand und Beschaffenheit</w:t>
      </w:r>
    </w:p>
    <w:p>
      <w:r>
        <w:t>Die Käuferin hatte Zugang zum Datenraum, hat technische und kaufmännische Gespräche geführt und erwirbt die Kaufgegenstände im bei Signing dokumentierten Zustand. Die Verkäuferin gibt nur die in diesem Vertrag ausdrücklich niedergelegten Erklärungen ab und übernimmt keine Garantie für künftige Umsätze, Kundenbindung oder lückenlose technische Dokumentation.</w:t>
      </w:r>
    </w:p>
    <w:p>
      <w:r>
        <w:t>Die Verkäuferin erklärt nach ihrer tatsächlichen Kenntnis, keine im Datenraum nicht offengelegte ausschließliche Veräußerung der FiscusPilot-Produktlinie vorgenommen zu haben. Offengelegte Sicherheiten, Drittkomponenten, Vorbestände und Vertragsbeschränkungen bleiben von dieser Erklärung ausgenommen.</w:t>
      </w:r>
    </w:p>
    <w:p>
      <w:pPr>
        <w:pStyle w:val="Heading1"/>
      </w:pPr>
      <w:r>
        <w:t>15. Haftung und Rückbehalt</w:t>
      </w:r>
    </w:p>
    <w:p>
      <w:r>
        <w:t>Die Haftung der Verkäuferin ist, soweit gesetzlich zulässig, auf vorsätzliche Pflichtverletzungen und ausdrücklich übernommene Garantien beschränkt. Ansprüche werden vorrangig aus dem Rückbehalt befriedigt; zwingende gesetzliche Haftung bleibt unberührt.</w:t>
      </w:r>
    </w:p>
    <w:p>
      <w:r>
        <w:t>Die Käuferin meldet geltend gemachte Abzüge bis zum 15. Januar 2027 mit Belegen an. Streitige Beträge bleiben bis zur Einigung oder rechtskräftigen Entscheidung auf dem Anderkonto.</w:t>
      </w:r>
    </w:p>
    <w:p>
      <w:pPr>
        <w:pStyle w:val="Heading1"/>
      </w:pPr>
      <w:r>
        <w:t>16. Übergangsleistungen</w:t>
      </w:r>
    </w:p>
    <w:p>
      <w:r>
        <w:t>Die Verkäuferin unterstützt für bis zu drei Monate Abrechnung, Kundenkommunikation, Datenexporte und Providerwechsel. Die Käuferin trägt ab Vollzug die laufenden Dritt- und Personalkosten der übernommenen Leistungen gemäß Anlage 16.1.</w:t>
      </w:r>
    </w:p>
    <w:p>
      <w:pPr>
        <w:pStyle w:val="Heading1"/>
      </w:pPr>
      <w:r>
        <w:t>17. Vertraulichkeit und Kommunikation</w:t>
      </w:r>
    </w:p>
    <w:p>
      <w:r>
        <w:t>Bis zur gemeinsamen Mitteilung behandeln die Parteien Kaufpreis, Anlagen und Vollzugsablauf vertraulich, soweit Verfahrens-, Organ- oder gesetzliche Informationspflichten nicht entgegenstehen. Kunden- und Beschäftigteninformationen werden inhaltlich abgestimmt und mit den jeweils erforderlichen Vorbehalten versehen.</w:t>
      </w:r>
    </w:p>
    <w:p>
      <w:pPr>
        <w:pStyle w:val="Heading1"/>
      </w:pPr>
      <w:r>
        <w:t>18. Schlussbestimmungen</w:t>
      </w:r>
    </w:p>
    <w:p>
      <w:r>
        <w:t>Es gilt deutsches Recht. Gerichtsstand ist, soweit zulässig, Heidelberg. Änderungen und Ergänzungen dieses Vertrags bedürfen der Textform, soweit keine strengere Form gilt. Die Anlagen 2.1 bis 18.3 sind Vertragsbestandteil.</w:t>
      </w:r>
    </w:p>
    <w:p>
      <w:pPr>
        <w:pStyle w:val="Heading1"/>
      </w:pPr>
      <w:r>
        <w:t>19. Unterschriften</w:t>
      </w:r>
    </w:p>
    <w:p>
      <w:r>
        <w:rPr>
          <w:b/>
        </w:rPr>
        <w:t>Heidelberg, 19.10.2026 — Dr. Friederike Mohn, ausschließlich als Insolvenzverwalterin über das Vermögen der Kurpfalz Taxware GmbH, handschriftlich unterzeichnet um 17:</w:t>
      </w:r>
      <w:r>
        <w:t>46 Uhr.</w:t>
      </w:r>
    </w:p>
    <w:p>
      <w:r>
        <w:rPr>
          <w:b/>
        </w:rPr>
        <w:t>Deidesheim, 19.10.2026 — Weinberg Digital Solutions GmbH, Leonhard Kern, Geschäftsführer, qualifiziert elektronisch unterzeichnet um 18:</w:t>
      </w:r>
      <w:r>
        <w:t>12 Uhr. Signaturprüfprotokoll und gegengezeichnete Anlagenliste sind beigefügt.</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Purchase Agreement Kurpfalz Taxware / Weinberg Digital</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