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Gesellschafterbeschluss zur Finanzierung und Markenbesicherung</w:t>
      </w:r>
    </w:p>
    <w:p>
      <w:r>
        <w:t>Die alleinige Gesellschafterin Marlene Vogt hält am 14. Februar 2024 in</w:t>
        <w:br/>
        <w:t>Mannheim eine außerordentliche Gesellschafterversammlung ab. Sie stimmt dem</w:t>
        <w:br/>
        <w:t>Darlehensvertrag mit einem Höchstbetrag von 240.000 Euro und der Bestellung</w:t>
        <w:br/>
        <w:t>von Sicherheiten an den wesentlichen Marken der Gesellschaft zu. Der</w:t>
        <w:br/>
        <w:t>Geschäftsführer wird ermächtigt, die hierfür erforderlichen Erklärungen</w:t>
        <w:br/>
        <w:t>abzugeben und Registerunterlagen beizubringen.</w:t>
      </w:r>
    </w:p>
    <w:p>
      <w:r>
        <w:rPr>
          <w:b/>
        </w:rPr>
        <w:t>Im Beschlusstext werden KURPFALZKLANG und MANNHEIM MODULAR mit ihren</w:t>
        <w:br/>
        <w:t>deutschen Registernummern genannt. RHEINPULS AUDIO erscheint nur in einem</w:t>
        <w:br/>
        <w:t>Klammerzusatz:</w:t>
      </w:r>
      <w:r>
        <w:t xml:space="preserve"> „nach Anmeldung, sofern Finanzierung noch valutiert“. Eine</w:t>
        <w:br/>
        <w:t>Anlage ist im Gesellschaftsordner nicht abgeheftet. Der Gesellschaftsordner</w:t>
        <w:br/>
        <w:t>verzeichnet ein von Marlene Vogt und Janis Heller unterzeichnetes</w:t>
        <w:br/>
        <w:t>Papierprotokoll mit handschriftlich ergänzter Uhrzeit 18:40 Uhr. Das</w:t>
        <w:br/>
        <w:t>vorliegende DOCX ist dessen inhaltliche Abschrift und enthält keine</w:t>
        <w:br/>
        <w:t>Abbildungen von Unterschriften oder Handschrift.</w:t>
      </w:r>
    </w:p>
    <w:p>
      <w:r>
        <w:t>Der Beschluss enthält keine Wertangabe und keine Aussage zu einer bereits</w:t>
        <w:br/>
        <w:t>bestehenden Vertriebslizenz. Im letzten Absatz wird der Geschäftsführer</w:t>
        <w:br/>
        <w:t>angewiesen, die laufende Nutzung der Zeichen im normalen Geschäftsbetrieb</w:t>
        <w:br/>
        <w:t>zu sichern und ohne erneuten Gesellschafterbeschluss keine endgültige</w:t>
        <w:br/>
        <w:t>Veräußerung vorzunehmen.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76" w:right="1219" w:bottom="1134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6"/>
      </w:rPr>
      <w:t xml:space="preserve">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5A6064"/>
        <w:sz w:val="16"/>
      </w:rPr>
      <w:t>Rheinpuls Audio – Marken im Asset Deal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83A5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C536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C536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83A5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Gesellschafterbeschluss zur Finanzierung und Markenbesicherung</dc:title>
  <dc:subject>Rheinpuls Audio – Marken im Asset Deal</dc:subject>
  <dc:creator>Fiktive Aktenstelle</dc:creator>
  <cp:keywords>Urheberrecht, Immaterialgüterrecht, Insolvenzrecht</cp:keywords>
  <dc:description>generated by python-docx</dc:description>
  <cp:lastModifiedBy/>
  <cp:revision>1</cp:revision>
  <dcterms:created xsi:type="dcterms:W3CDTF">2026-10-23T09:00:00Z</dcterms:created>
  <dcterms:modified xsi:type="dcterms:W3CDTF">2026-10-23T09:00:00Z</dcterms:modified>
  <cp:category/>
</cp:coreProperties>
</file>