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Vertriebs- und Lizenzvertrag mit Hainblick Audiohandel e.K.</w:t>
      </w:r>
    </w:p>
    <w:p>
      <w:pPr>
        <w:pStyle w:val="Heading1"/>
      </w:pPr>
      <w:r>
        <w:t>1. Vertrag und Gebiet</w:t>
      </w:r>
    </w:p>
    <w:p>
      <w:r>
        <w:t>Der Vertrag vom 20. Februar 2023 wird zwischen der Kurpfalz Tonwerke</w:t>
        <w:br/>
        <w:t>GmbH und Hainblick Audiohandel e.K., Bergpfad 5, 69121 Heidelberg,</w:t>
        <w:br/>
        <w:t>geschlossen. Hainblick erhält das Recht, Produkte der Linie</w:t>
        <w:br/>
        <w:t>MANNHEIM MODULAR in Deutschland zu vertreiben und das Zeichen in</w:t>
        <w:br/>
        <w:t>Katalogen, Ladengeschäften und im eigenen Webshop zu benutzen. Der</w:t>
        <w:br/>
        <w:t>gedruckte Vertrag bezeichnet die Lizenz als nicht ausschließlich.</w:t>
      </w:r>
    </w:p>
    <w:p>
      <w:pPr>
        <w:pStyle w:val="Heading1"/>
      </w:pPr>
      <w:r>
        <w:t>2. Laufzeit und Vergütung</w:t>
      </w:r>
    </w:p>
    <w:p>
      <w:r>
        <w:t>Der Vertrag läuft fest bis zum 31. Dezember 2027 und verlängert sich</w:t>
        <w:br/>
        <w:t>jeweils um zwölf Monate, wenn er nicht sechs Monate vorher</w:t>
        <w:br/>
        <w:t>gekündigt wird. Hainblick zahlt eine umsatzabhängige Markenlizenz von</w:t>
        <w:br/>
        <w:t>zwei Prozent des Nettoumsatzes, mindestens jedoch 18.000 Euro pro</w:t>
        <w:br/>
        <w:t>Kalenderjahr. Für 2025 weist die Abrechnung 21.640 Euro aus.</w:t>
      </w:r>
    </w:p>
    <w:p>
      <w:pPr>
        <w:pStyle w:val="Heading1"/>
      </w:pPr>
      <w:r>
        <w:t>3. Gebietsschutz und Übertragung</w:t>
      </w:r>
    </w:p>
    <w:p>
      <w:r>
        <w:rPr>
          <w:b/>
        </w:rPr>
        <w:t>§ 4 Abs. 3 sieht lediglich vor, dass die Herstellerin während der</w:t>
        <w:br/>
        <w:t>Vertragslaufzeit keinen weiteren Fachhändler mit einem exklusiven</w:t>
        <w:br/>
        <w:t>Gebiet in Nordbaden bestellt. Eine E-Mail von Janis Heller vom</w:t>
        <w:br/>
        <w:t>15. Januar 2024, die als Ausdruck hinter dem Vertrag liegt, lautet:</w:t>
      </w:r>
      <w:r>
        <w:br/>
        <w:t>„Für Nordbaden bleibt ihr bis Ende 2027 unser einziger autorisierter</w:t>
        <w:br/>
        <w:t>Händler.“ Hainblick bestätigte mit „Danke für die Exklusivität“. Ein</w:t>
        <w:br/>
        <w:t>förmlicher Nachtrag wurde nicht unterzeichnet.</w:t>
      </w:r>
    </w:p>
    <w:p>
      <w:pPr>
        <w:pStyle w:val="Heading1"/>
      </w:pPr>
      <w:r>
        <w:t>4. Inhaberwechsel</w:t>
      </w:r>
    </w:p>
    <w:p>
      <w:r>
        <w:t>Nach § 11 soll die Herstellerin Hainblick über einen Wechsel des</w:t>
        <w:br/>
        <w:t>Markeninhabers informieren. Der Vertrag enthält kein ausdrückliches</w:t>
        <w:br/>
        <w:t>Kündigungsrecht bei Insolvenz. Rechte und Pflichten aus dem Vertrag</w:t>
        <w:br/>
        <w:t>dürfen von der Herstellerin im Rahmen einer Übertragung des</w:t>
        <w:br/>
        <w:t>Geschäftsbetriebs auf einen Rechtsnachfolger übertragen werden;</w:t>
        <w:br/>
        <w:t>Hainblick soll mindestens zehn Werktage vorher benachrichtigt werden.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Rheinpuls Audio – Marken im Asset Deal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Vertriebs- und Lizenzvertrag mit Hainblick Audiohandel e.K.</dc:title>
  <dc:subject>Rheinpuls Audio – Marken im Asset Deal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