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Tauber und Mathilda Endres</w:t>
      </w:r>
    </w:p>
    <w:p>
      <w:r>
        <w:t>Rechtsanwalt Benno Seitz</w:t>
        <w:br/>
        <w:t>Insolvenzverwalter der Café Abendrot GmbH</w:t>
        <w:br/>
        <w:t>Kanzlei Seitz und Amsel, Ulmenbogen 4, 93049 Regensburg</w:t>
      </w:r>
    </w:p>
    <w:p>
      <w:r>
        <w:t>07.10.2026</w:t>
      </w:r>
    </w:p>
    <w:p>
      <w:pPr>
        <w:pStyle w:val="Title"/>
      </w:pPr>
      <w:r>
        <w:t>Öffnung des Gutscheinumschlags im Tresor</w:t>
      </w:r>
    </w:p>
    <w:p>
      <w:pPr/>
      <w:r>
        <w:t>Im unteren Tresorfach lag ein Karton mit zwanzig einzeln verschlossenen Umschlägen. Frau Endres und ich haben den Karton gemeinsam geöffnet und die Umschläge gezählt. Die Karten tragen fortlaufend die Nummern G-081 bis G-100 und jeweils den Nennwert von 25,00 EUR. Sie waren nicht mit einem Verkaufsdatum versehen.</w:t>
      </w:r>
    </w:p>
    <w:p>
      <w:pPr/>
      <w:r>
        <w:t>Frau Endres erklärte, die Karten seien im Mai vorsorglich vorbereitet, aber nicht verkauft worden. Die Kartonaufschrift „Gutscheine 500“ war von ihr angebracht worden und bezeichnete den summierten Nennwert. Ein Kassenbeleg über 500,00 EUR lag nicht im Karton.</w:t>
      </w:r>
    </w:p>
    <w:p>
      <w:pPr/>
      <w:r>
        <w:t>Wir haben die Karten mit dem Vermerk „unverkauft laut GF, Journalabgleich offen“ gesondert verwahrt. Es wurde keine Verbindlichkeit allein aus dem Fund in die Arbeitsliste übernommen. Die Hüllen sind nun geöffnet und tragen jeweils die Initialen NT zur Unterscheidung vom ursprünglichen Zustand.</w:t>
      </w:r>
    </w:p>
    <w:p>
      <w:pPr/>
      <w:r>
        <w:t>Nora Tauber</w:t>
        <w:br/>
        <w:t>Mathilda Endres</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Öffnung des Gutscheinumschlags im Tresor</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