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Tauber</w:t>
      </w:r>
    </w:p>
    <w:p>
      <w:r>
        <w:t>Rechtsanwalt Benno Seitz</w:t>
        <w:br/>
        <w:t>Insolvenzverwalter der Café Abendrot GmbH</w:t>
        <w:br/>
        <w:t>Kanzlei Seitz und Amsel, Ulmenbogen 4, 93049 Regensburg</w:t>
      </w:r>
    </w:p>
    <w:p>
      <w:r>
        <w:t>14.10.2026</w:t>
      </w:r>
    </w:p>
    <w:p>
      <w:pPr>
        <w:pStyle w:val="Title"/>
      </w:pPr>
      <w:r>
        <w:t>Offene Vorgänge am 14 Oktober</w:t>
      </w:r>
    </w:p>
    <w:p>
      <w:pPr/>
      <w:r>
        <w:t>Die Gutscheinkarten G-081 bis G-100 sind nach Journal und Aussage der Geschäftsführerin nicht verkauft. Der bloße Nennwert von 500,00 EUR wurde deshalb nicht mit den gespeicherten offenen Kundenguthaben von 900,00 EUR addiert. Frau Hufnagels Karte G-048 ist im Journal enthalten; ihre Anfrage betrifft keine zusätzliche, außerhalb der Liste liegende Karte.</w:t>
      </w:r>
    </w:p>
    <w:p>
      <w:pPr/>
      <w:r>
        <w:t>Die Standortwerte sind nach Abzug des doppelten Kaffeeansatzes mit zusammen 2.500,00 EUR abgestimmt. Die Entsorgung betraf ausgesonderte Lebensmittel, die in diesen Werten nicht mehr enthalten waren. Die Rechnungen über 952,00 EUR und 238,00 EUR ergeben zusammen 1.190,00 EUR. Dieser Betrag ist zufällig gleich hoch wie die separate Septemberrechnung der Mühle und darf nicht mit ihr verwechselt werden.</w:t>
      </w:r>
    </w:p>
    <w:p>
      <w:pPr/>
      <w:r>
        <w:t>Die Personalentscheidung bleibt offen. Herrn Amsels Frage nach dem Dienstplan ist zur Entscheidung vorgelegt. Für Frau Seel fehlt weiterhin die aufgefundene Bescheinigung in der Kanzleiakte. Die Entwürfe an die Mühle und an Kunden sind noch nicht freigegeben.</w:t>
      </w:r>
    </w:p>
    <w:p>
      <w:pPr/>
      <w:r>
        <w:t>Nora Tauber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Offene Vorgänge am 14 Oktober</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