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Dr. Lorenz Riedel</w:t>
        <w:br/>
        <w:t>Insolvenzverwalter der Kaufhaus Katzenbogen GmbH</w:t>
        <w:br/>
        <w:t>Kanzlei Riedel und Färber, Lindensteg 7, 80336 München</w:t>
      </w:r>
    </w:p>
    <w:p>
      <w:r>
        <w:t>Frau Alma Seubert</w:t>
        <w:br/>
        <w:t>Sachbearbeitung Insolvenz</w:t>
      </w:r>
    </w:p>
    <w:p>
      <w:r>
        <w:t>08.10.2026</w:t>
      </w:r>
    </w:p>
    <w:p>
      <w:pPr>
        <w:pStyle w:val="Title"/>
      </w:pPr>
      <w:r>
        <w:t>Übernahme der Akte Katzenbogen</w:t>
      </w:r>
    </w:p>
    <w:p>
      <w:pPr/>
      <w:r>
        <w:t>Sehr geehrte Frau Seubert,</w:t>
      </w:r>
    </w:p>
    <w:p>
      <w:pPr/>
      <w:r>
        <w:t>bitte übernehmen Sie den Posteingang, das Warenverzeichnis und die Vorbereitung der Forderungsprüfung im Verfahren 1500 IN 6821/26. Das Kaufhaus beschäftigt neun Personen und verkauft Haushaltswaren und Tierzubehör auf zwei Etagen. Frau Hager ist vor Ort erreichbar. Der Eingangsschlüssel befindet sich im Schlüsseltresor unserer Kanzlei.</w:t>
      </w:r>
    </w:p>
    <w:p>
      <w:pPr/>
      <w:r>
        <w:t>Seit dem 8. September bestand eine vorläufige Verwaltung mit Zustimmungsvorbehalt. Am 1. Oktober wurde das Verfahren eröffnet. Bitte unterscheiden Sie bei jedem Vorgang zwischen dem Datum des Vertragsschlusses, der Leistung und einer etwaigen Zustimmung. Die Postfächer des Unternehmens enthalten sowohl Verkaufsunterlagen als auch persönliche Nachrichten der Geschäftsführerin.</w:t>
      </w:r>
    </w:p>
    <w:p>
      <w:pPr/>
      <w:r>
        <w:t>Frau Murr verlangt die Herausgabe von Katzenzubehör im angesetzten Brutto-Einkaufswert von 25.000,00 EUR. Die Ware steht weitgehend auf den Verkaufsregalen. Über die Vertragsart und die einbezogenen Bedingungen besteht Streit. Bis zum gemeinsamen Ortstermin soll die bezeichnete Ware gesondert markiert bleiben.</w:t>
      </w:r>
    </w:p>
    <w:p>
      <w:pPr/>
      <w:r>
        <w:t>Die fünf bisher eingegangenen Forderungsanmeldungen sind unter FAA01 bis FAA05 zu erfassen. Notieren Sie, welches Dokument eine Angabe tatsächlich trägt und welche Nachforderung noch offen ist. Ein Prüfungsvermerk oder eine interne Tabelle ersetzt weder die Erklärung des Verwalters noch eine gerichtliche Tabellenfeststellung.</w:t>
      </w:r>
    </w:p>
    <w:p>
      <w:pPr/>
      <w:r>
        <w:t>Mit freundlichen Grüßen</w:t>
        <w:br/>
        <w:t>Dr. Lorenz Riedel</w:t>
        <w:br/>
        <w:t>Rechtsanwalt und Insolvenzverwalter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Übernahme der Akte Katzenbogen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