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Lene Dörfler und Alma Seubert</w:t>
      </w:r>
    </w:p>
    <w:p>
      <w:r>
        <w:t>Rechtsanwalt Dr. Lorenz Riedel</w:t>
        <w:br/>
        <w:t>Insolvenzverwalter der Kaufhaus Katzenbogen GmbH</w:t>
        <w:br/>
        <w:t>Kanzlei Riedel und Färber, Lindensteg 7, 80336 München</w:t>
      </w:r>
    </w:p>
    <w:p>
      <w:r>
        <w:t>06.10.2026</w:t>
      </w:r>
    </w:p>
    <w:p>
      <w:pPr>
        <w:pStyle w:val="Title"/>
      </w:pPr>
      <w:r>
        <w:t>Gemeinsame Aufnahme der Katzenregale</w:t>
      </w:r>
    </w:p>
    <w:p>
      <w:pPr/>
      <w:r>
        <w:t>Wir haben am 6. Oktober 2026 von 08:00 bis 09:10 Uhr den gesondert markierten Bereich im Erdgeschoss gezählt. Frau Murr war telefonisch zugeschaltet, aber nicht anwesend. Die Zählung erfolgte nach Artikel und Etikett; Verpackungen der Spielsets wurden stichprobenweise geöffnet.</w:t>
      </w:r>
    </w:p>
    <w:p>
      <w:pPr/>
      <w:r>
        <w:t>Es waren 200 Katzenhöhlen FH60, 200 Kratzbretter KB35 und 300 Spielsets MS20 vorhanden. Bei sämtlichen gezählten Artikeln war das Los MM260603 sichtbar. Die Rechnung nennt als Brutto-Einkaufspreise 60,00 EUR, 35,00 EUR und 20,00 EUR. Daraus ergibt sich ein angesetzter Brutto-Einkaufswert von 25.000,00 EUR. Dies ist weder ein ermittelter Liquidationserlös noch eine Bewertung von Eigentumsrechten.</w:t>
      </w:r>
    </w:p>
    <w:p>
      <w:pPr/>
      <w:r>
        <w:t>Im oberen Regal lag außerdem eine geöffnete Musterhöhle ohne Losetikett. Sie wurde nicht in den Bestand aufgenommen. Frau Dörfler erklärte, das Stück stamme von einer früheren Musterlieferung und sei Eigentum der Geschäftsführerin. Ein Beleg wurde nicht gezeigt.</w:t>
      </w:r>
    </w:p>
    <w:p>
      <w:pPr/>
      <w:r>
        <w:t>Das Kassensystem weist vier Verkäufe unter der Bezeichnung „Katzenhöhle“ aus. Die Zuordnung zur Lieferung ist derzeit offen. Der Lagerleiter verwies auf einen Altbestand mit demselben Verkaufstext. Die gezählten Stücke wurden an Ort und Stelle belassen.</w:t>
      </w:r>
    </w:p>
    <w:p>
      <w:pPr/>
      <w:r>
        <w:t>Lene Dörfler</w:t>
        <w:br/>
        <w:t>Alma Seubert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Gemeinsame Aufnahme der Katzenregale</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