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Alma Seubert</w:t>
        <w:br/>
        <w:t>Sachbearbeitung</w:t>
      </w:r>
    </w:p>
    <w:p>
      <w:r>
        <w:t>Rechtsanwalt Dr. Lorenz Riedel</w:t>
        <w:br/>
        <w:t>Insolvenzverwalter der Kaufhaus Katzenbogen GmbH</w:t>
        <w:br/>
        <w:t>Kanzlei Riedel und Färber, Lindensteg 7, 80336 München</w:t>
      </w:r>
    </w:p>
    <w:p>
      <w:r>
        <w:t>14.10.2026</w:t>
      </w:r>
    </w:p>
    <w:p>
      <w:pPr>
        <w:pStyle w:val="Title"/>
      </w:pPr>
      <w:r>
        <w:t>Posteingangsstand vor der Forderungsprüfung</w:t>
      </w:r>
    </w:p>
    <w:p>
      <w:pPr/>
      <w:r>
        <w:t>Herr Dr. Riedel,</w:t>
      </w:r>
    </w:p>
    <w:p>
      <w:pPr/>
      <w:r>
        <w:t>die fünf Anmeldungen sind als FAA01 bis FAA05 erfasst. Die laufende Nummer bezeichnet den internen Eingang; sie wurde noch nicht als gerichtliche Tabellennummer mitgeteilt. Bei FAA02 liegt die ausdrückliche Berichtigung auf 5.355,00 EUR vor. Bei FAA04 ergibt die nachgereichte Rechnung 112,33 EUR Zinsen und eine Gesamtsumme von 4.232,33 EUR. Die ursprünglichen Anmeldungen bleiben in der Akte.</w:t>
      </w:r>
    </w:p>
    <w:p>
      <w:pPr/>
      <w:r>
        <w:t>Südlicht hat die erbetene Aufstellung noch nicht übersandt. Aus dem Saldoauszug kann ich einzelne Ansprüche nicht rekonstruieren. Frau Zobel hat ihre zusätzliche Deliktsbehauptung auf die Nachricht vom 26. August und den späteren Insolvenzantrag gestützt. Frau Hager hat widersprochen; ihre Erklärung ist dem Gericht zugegangen. Eine Erklärung des Verwalters liegt dazu noch nicht vor.</w:t>
      </w:r>
    </w:p>
    <w:p>
      <w:pPr/>
      <w:r>
        <w:t>Die Forderungsliste enthält deshalb keine Feststellungsspalte. Für den Termin müssen Anmeldung, Berichtigung, Beleglage und etwaige Erklärungen der Beteiligten getrennt vorgelegt werden. Ich bitte um Prüfung, welche weiteren Tatsachen bei FAA05 erhoben werden sollen und ob neben der inzwischen gesicherten Banknachricht weitere Kontounterlagen benötigt werden.</w:t>
      </w:r>
    </w:p>
    <w:p>
      <w:pPr/>
      <w:r>
        <w:t>Alma Seubert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Posteingangsstand vor der Forderungsprüfung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