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Unternehmens- und Produktprofil Kurpfalz Taxware</w:t>
      </w:r>
    </w:p>
    <w:p>
      <w:pPr>
        <w:pStyle w:val="Heading1"/>
      </w:pPr>
      <w:r>
        <w:t>1. Unternehmen</w:t>
      </w:r>
    </w:p>
    <w:p>
      <w:r>
        <w:t>Die Kurpfalz Taxware GmbH wurde 2017 in Heidelberg gegründet. Unternehmensgegenstand laut Handelsregisterauszug sind Entwicklung, Vertrieb und Betrieb kaufmännischer Software sowie verbundene Beratungs- und Unterstützungsleistungen. Das Stammkapital beträgt 50.000 EUR.</w:t>
      </w:r>
    </w:p>
    <w:p>
      <w:r>
        <w:t>Bis August 2026 beschäftigte die Gesellschaft 23 Personen, davon 14 in Entwicklung und Betrieb, vier in Support und Kundenprojekten sowie fünf in Vertrieb und Verwaltung. Der Jahresumsatz 2025 betrug laut BWA 3,18 Mio. EUR.</w:t>
      </w:r>
    </w:p>
    <w:p>
      <w:pPr>
        <w:pStyle w:val="Heading1"/>
      </w:pPr>
      <w:r>
        <w:t>2. Produktfamilie FiscusPilot</w:t>
      </w:r>
    </w:p>
    <w:p>
      <w:r>
        <w:t>FiscusPilot Kanzlei unterstützt Fristen- und Belegworkflows, Umsatzsteuervoranmeldungen, Jahresabschluss-Checklisten und den Datenaustausch mit Mandanten. Das Produkt wird überwiegend als private Cloud oder als kundenseitig betriebene Installation angeboten.</w:t>
      </w:r>
    </w:p>
    <w:p>
      <w:r>
        <w:t>FiscusPilot Mittelstand stellt Liquiditätsübersichten, Buchungsimporte, Steuerterminkalender und Freigabeworkflows für Unternehmen bereit. Beide Produktlinien verwenden den gemeinsamen Regelkern tax-engine und die Dokumentenkomponente DocFlow.</w:t>
      </w:r>
    </w:p>
    <w:p>
      <w:pPr>
        <w:pStyle w:val="Heading1"/>
      </w:pPr>
      <w:r>
        <w:t>3. Technische Entwicklungslinie</w:t>
      </w:r>
    </w:p>
    <w:p>
      <w:r>
        <w:t>Das frühe Produkt TaxEngine Classic entstand 2017 und 2018 unter Mitwirkung des Freelancers Lukas Binder. Ab 2019 wurde der Regelkern schrittweise in das Repository fiscuspilot-core überführt. Der historische Ordner legacy/binder-rules ist weiterhin Bestandteil des Build-Prozesses für Altmandate.</w:t>
      </w:r>
    </w:p>
    <w:p>
      <w:r>
        <w:t>Die Weboberfläche wurde ab 2020 neu aufgebaut. Cloud-Betrieb und Infrastrukturcode kamen 2021 hinzu; der Datenimport LedgerFlow wurde 2022 und 2023 ergänzt. Seit 2024 wird eine mobile Belegerfassung erprobt.</w:t>
      </w:r>
    </w:p>
    <w:p>
      <w:pPr>
        <w:pStyle w:val="Heading1"/>
      </w:pPr>
      <w:r>
        <w:t>4. Kunden und Erlösmodell</w:t>
      </w:r>
    </w:p>
    <w:p>
      <w:r>
        <w:t>Zum 31. August 2026 weist das CRM 146 aktive Kanzleikunden und 83 aktive Mittelstandskunden aus. Wiederkehrende Entgelte werden monatlich, quartalsweise oder jährlich berechnet. Daneben bestehen Projekt-, Migrations- und Schulungsleistungen.</w:t>
      </w:r>
    </w:p>
    <w:p>
      <w:r>
        <w:t>Die zehn größten Kunden stehen nach der internen Auswertung für 38 Prozent des wiederkehrenden Jahresumsatzes. Vertragsfassungen und Bestellformulare sind nicht für alle Kunden zentral abgelegt.</w:t>
      </w:r>
    </w:p>
    <w:p>
      <w:pPr>
        <w:pStyle w:val="Heading1"/>
      </w:pPr>
      <w:r>
        <w:t>5. Betrieb und Datenhaltung</w:t>
      </w:r>
    </w:p>
    <w:p>
      <w:r>
        <w:t>Die Cloud-Umgebung wird in zwei Rechenzentrumsregionen in Frankfurt am Main betrieben. Quellcode liegt in einer selbstverwalteten GitLab-Instanz; Artefakte werden in einer separaten Registry gespeichert. Signaturschlüssel für Desktop-Releases befinden sich nach Auskunft der Technik in einem Hardware-Sicherheitsmodul.</w:t>
      </w:r>
    </w:p>
    <w:p>
      <w:r>
        <w:t>Die Gesellschaft verwendet Jira, Confluence und ein internes Release-Wiki. Die Exporte im Datenraum wurden zwischen 29. September und 9. Oktober 2026 erstellt.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 und Produktprofil Kurpfalz Taxware</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