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Arbeitsvertrag Nina Scholl</w:t>
      </w:r>
    </w:p>
    <w:p>
      <w:pPr>
        <w:pStyle w:val="Heading1"/>
      </w:pPr>
      <w:r>
        <w:t>1. Arbeitsvertrag und Vertragsparteien</w:t>
      </w:r>
    </w:p>
    <w:p>
      <w:r>
        <w:t>Zwischen der Kurpfalz Taxware GmbH, Im Neuenheimer Feld 583, 69120 Heidelberg, vertreten durch die Geschäftsführung, nachfolgend Arbeitgeberin, und Nina Scholl, Neckarauer Waldweg 31, 68199 Mannheim, nachfolgend Arbeitnehmerin oder Arbeitnehmer, wird am 12.04.2024 folgender Arbeitsvertrag geschlossen.</w:t>
      </w:r>
    </w:p>
    <w:p>
      <w:r>
        <w:t>Die Parteien halten alle Abreden in diesem Vertrag und seinen ausdrücklich bezeichneten Anlagen fest. Mündliche Nebenabreden bestehen bei Unterzeichnung nicht.</w:t>
      </w:r>
    </w:p>
    <w:p>
      <w:pPr>
        <w:pStyle w:val="Heading1"/>
      </w:pPr>
      <w:r>
        <w:t>2. Beginn, Dauer und Probezeit</w:t>
      </w:r>
    </w:p>
    <w:p>
      <w:r>
        <w:t>Das Arbeitsverhältnis beginnt am 01.05.2024 und wird auf unbestimmte Zeit geschlossen. Die ersten sechs Monate des Arbeitsverhältnisses sind Probezeit. Während der Probezeit kann mit zwei Wochen Frist gekündigt werden.</w:t>
      </w:r>
    </w:p>
    <w:p>
      <w:r>
        <w:t>Eine ordentliche Kündigung vor dem vereinbarten Beginn ist ausgeschlossen. Das Recht zur außerordentlichen Kündigung aus wichtigem Grund bleibt unberührt.</w:t>
      </w:r>
    </w:p>
    <w:p>
      <w:pPr>
        <w:pStyle w:val="Heading1"/>
      </w:pPr>
      <w:r>
        <w:t>3. Tätigkeit und organisatorische Zuordnung</w:t>
      </w:r>
    </w:p>
    <w:p>
      <w:r>
        <w:t>Die Beschäftigung erfolgt als Mobile und Quality Engineer. Zum Aufgabenbereich gehören Konzeption, Entwicklung, Dokumentation, Review, Fehleranalyse und Pflege der im Zuständigkeitsbereich liegenden Bestandteile der Produkte FiscusPilot Kanzlei und FiscusPilot Mittelstand.</w:t>
      </w:r>
    </w:p>
    <w:p>
      <w:r>
        <w:t>Die Arbeitnehmerin oder der Arbeitnehmer berichtet fachlich an die Leitung Engineering und organisatorisch an die Geschäftsführung. Eine andere gleichwertige, den Kenntnissen und Fähigkeiten entsprechende Aufgabe kann unter Wahrung billigen Ermessens zugewiesen werden.</w:t>
      </w:r>
    </w:p>
    <w:p>
      <w:pPr>
        <w:pStyle w:val="Heading1"/>
      </w:pPr>
      <w:r>
        <w:t>4. Arbeitsort und mobiles Arbeiten</w:t>
      </w:r>
    </w:p>
    <w:p>
      <w:r>
        <w:t>Regelmäßiger Arbeitsort ist Heidelberg und im Rahmen der Mobile-Work-Vereinbarung die Wohnanschrift der Arbeitnehmerin. Mobiles Arbeiten innerhalb Deutschlands ist nach der jeweils geltenden betrieblichen Regelung und nach Abstimmung im Team möglich.</w:t>
      </w:r>
    </w:p>
    <w:p>
      <w:r>
        <w:t>Dienstreisen zu Kunden, Rechenzentren und betrieblichen Veranstaltungen sind im zumutbaren Umfang Bestandteil der Tätigkeit. Ein dauerhafter Wechsel des Arbeitsorts bedarf einer Vereinbarung in Textform.</w:t>
      </w:r>
    </w:p>
    <w:p>
      <w:pPr>
        <w:pStyle w:val="Heading1"/>
      </w:pPr>
      <w:r>
        <w:t>5. Arbeitszeit</w:t>
      </w:r>
    </w:p>
    <w:p>
      <w:r>
        <w:t>Die regelmäßige Arbeitszeit beträgt 40 Stunden pro Woche ausschließlich der Ruhepausen und wird grundsätzlich auf Montag bis Freitag verteilt. Beginn und Ende richten sich nach der betrieblichen Gleitzeitregelung und den Erfordernissen des Teams.</w:t>
      </w:r>
    </w:p>
    <w:p>
      <w:r>
        <w:t>Notwendige Mehrarbeit ist nur auf Anordnung oder mit vorheriger Genehmigung zu leisten. Bis zu zehn Mehrarbeitsstunden im Kalendermonat sind mit der Vergütung abgegolten, soweit dies gesetzlich zulässig ist; darüber hinausgehende Stunden werden durch Freizeit ausgeglichen oder vergütet.</w:t>
      </w:r>
    </w:p>
    <w:p>
      <w:pPr>
        <w:pStyle w:val="Heading1"/>
      </w:pPr>
      <w:r>
        <w:t>6. Vergütung</w:t>
      </w:r>
    </w:p>
    <w:p>
      <w:r>
        <w:t>Die jährliche Bruttovergütung beträgt 68.400,00 EUR brutto; dies entspricht einer monatlichen Bruttovergütung von 5.700,00 EUR brutto, zahlbar jeweils zum letzten Bankarbeitstag des Monats auf ein benanntes Konto.</w:t>
      </w:r>
    </w:p>
    <w:p>
      <w:r>
        <w:t>Freiwillige Sonderzahlungen, Boni oder Sachleistungen begründen auch bei wiederholter Gewährung keinen Anspruch für die Zukunft, sofern sie nicht in einer gesonderten Zielvereinbarung verbindlich zugesagt sind.</w:t>
      </w:r>
    </w:p>
    <w:p>
      <w:pPr>
        <w:pStyle w:val="Heading1"/>
      </w:pPr>
      <w:r>
        <w:t>7. Urlaub und Arbeitsverhinderung</w:t>
      </w:r>
    </w:p>
    <w:p>
      <w:r>
        <w:t>Der jährliche Erholungsurlaub beträgt 30 Arbeitstage bei einer Fünftagewoche. Zuerst wird der gesetzliche Urlaub, anschließend der vertragliche Mehrurlaub eingebracht. Urlaub ist unter Berücksichtigung betrieblicher Belange frühzeitig abzustimmen.</w:t>
      </w:r>
    </w:p>
    <w:p>
      <w:r>
        <w:t>Arbeitsunfähigkeit ist unverzüglich samt voraussichtlicher Dauer mitzuteilen. Die gesetzlichen Nachweis- und Fortzahlungspflichten gelten; die Arbeitgeberin kann einen ärztlichen Nachweis ab dem ersten Krankheitstag verlangen.</w:t>
      </w:r>
    </w:p>
    <w:p>
      <w:pPr>
        <w:pStyle w:val="Heading1"/>
      </w:pPr>
      <w:r>
        <w:t>8. Vertraulichkeit, Datenschutz und IT-Sicherheit</w:t>
      </w:r>
    </w:p>
    <w:p>
      <w:r>
        <w:t>Über Geschäfts- und Betriebsgeheimnisse, Quellcode, nicht veröffentlichte Produktpläne, Sicherheitsbefunde, Kundendaten, Steuerdaten und Vertragskonditionen ist während und nach dem Arbeitsverhältnis Stillschweigen zu bewahren. Die Pflicht gilt nicht für offenkundige Informationen oder gesetzlich zulässige Meldungen.</w:t>
      </w:r>
    </w:p>
    <w:p>
      <w:r>
        <w:t>Zugänge sind personenbezogen zu verwenden. Quellcode und Produktdaten dürfen nur in freigegebenen Repositorien und Systemen gespeichert werden. Sicherheitsvorfälle, versehentliche Veröffentlichungen und der Verlust von Zugangsmitteln sind unverzüglich an die Leitung Engineering und die Datenschutzkoordination zu melden.</w:t>
      </w:r>
    </w:p>
    <w:p>
      <w:pPr>
        <w:pStyle w:val="Heading1"/>
      </w:pPr>
      <w:r>
        <w:t>9. Arbeitsergebnisse und Nutzungsrechte</w:t>
      </w:r>
    </w:p>
    <w:p>
      <w:r>
        <w:t>Die Arbeitnehmerin räumt der Arbeitgeberin im gesetzlich größtmöglichen Umfang ausschließliche, übertragbare und unterlizenzierbare Nutzungsrechte an den im Zusammenhang mit ihren dienstlichen Aufgaben geschaffenen mobilen Anwendungen, Testautomatisierungen, Bildverarbeitungsabläufen, Benutzeroberflächen, Dokumentationen und Designs ein. Die Rechte gelten weltweit für die Dauer des gesetzlichen Schutzes und umfassen insbesondere Nutzung in Quell- und Objektform, Bearbeitung, Portierung, Verbindung mit Cloud-Diensten, App-Store-Vertrieb, SaaS-Betrieb und Übertragung an einen Erwerber der FiscusPilot-Produkte.</w:t>
      </w:r>
    </w:p>
    <w:p>
      <w:r>
        <w:t>Für Computerprogramme nehmen die Parteien ergänzend auf § 69b UrhG Bezug. Soweit dieser Vertrag konkrete weitergehende Nutzungsbefugnisse beschreibt, gelten sie im Rahmen des gesetzlich Zulässigen.</w:t>
      </w:r>
    </w:p>
    <w:p>
      <w:r>
        <w:t>Urheberpersönlichkeitsrechte bleiben unberührt. Soweit eine gesonderte Mitwirkung für Anmeldung, Dokumentation oder Übertragung erforderlich ist, wird sie auf angemessene Anforderung geleistet; notwendige Auslagen trägt die Arbeitgeberin.</w:t>
      </w:r>
    </w:p>
    <w:p>
      <w:pPr>
        <w:pStyle w:val="Heading1"/>
      </w:pPr>
      <w:r>
        <w:t>10. Vorbestehende Werke, Werkzeuge und Kenntnisse</w:t>
      </w:r>
    </w:p>
    <w:p>
      <w:r>
        <w:t>Die Arbeitnehmerin hat das private Projekt ReceiptCam mit Bildzuschnitt und Belichtungskorrektur als möglichen Vorbestand angezeigt. Nach dem Vertrag soll nur der in Anlage S-1 durch Dateinamen und Hashwerte bezeichnete Stand ausgenommen bleiben; für ausdrücklich übernommene Dateien soll ein einfaches, dauerhaftes Recht zur Integration in FiscusPilot gelten. In der bei Unterzeichnung ausgehändigten Vertragsmappe ist Anlage S-1 mit 'Fassung folgt nach erstem Code Review' bezeichnet.</w:t>
      </w:r>
    </w:p>
    <w:p>
      <w:r>
        <w:t>Allgemeine berufliche Kenntnisse, Erfahrungen, Methoden und nicht geheimhaltungsbedürftige Fähigkeiten werden durch diese Regelung nicht erfasst. Eine Einbringung weiterer vorbestehender Software bedarf einer vorherigen Dokumentation in Textform.</w:t>
      </w:r>
    </w:p>
    <w:p>
      <w:pPr>
        <w:pStyle w:val="Heading1"/>
      </w:pPr>
      <w:r>
        <w:t>11. Open Source und Drittsoftware</w:t>
      </w:r>
    </w:p>
    <w:p>
      <w:r>
        <w:t>Zugelassene Mobile-Pakete dürfen verwendet werden, wenn in der Paketdatei ein SPDX-Ausdruck, die Bezugsquelle und die Version erfasst sind und der automatisierte Lizenzcheck ohne Sperrhinweis endet. Pakete mit unbekannter Lizenz oder Copyleft-Wirkung sowie kopierte Codebeispiele aus Foren dürfen erst nach dokumentierter Prüfung übernommen werden. Die Arbeitnehmerin pflegt die Hinweise im About-Dialog und in der NOTICE-Datei des Mobile-Releases.</w:t>
      </w:r>
    </w:p>
    <w:p>
      <w:r>
        <w:t>Für jede eingebrachte Drittkomponente sind mindestens Name, Version, Bezugsquelle, Lizenzkennung und der Einsatzort im Repository zu dokumentieren. Lizenztexte und Copyright-Hinweise dürfen nicht entfernt werden.</w:t>
      </w:r>
    </w:p>
    <w:p>
      <w:pPr>
        <w:pStyle w:val="Heading1"/>
      </w:pPr>
      <w:r>
        <w:t>12. Nebentätigkeiten</w:t>
      </w:r>
    </w:p>
    <w:p>
      <w:r>
        <w:t>Nebentätigkeiten sind vor Aufnahme in Textform zu beantragen. Die am 8. April 2024 per E-Mail beschriebene unentgeltliche Mitarbeit am gemeinnützigen Projekt RadKarte Rhein-Neckar ist im Umfang von höchstens fünf Stunden monatlich gestattet; eine Nutzung betrieblicher Geräte, Arbeitszeit oder Bibliotheken ist ausgeschlossen. Veröffentlichungen zu mobiler Belegerfassung oder OCR bedürfen einer erneuten Abstimmung.</w:t>
      </w:r>
    </w:p>
    <w:p>
      <w:r>
        <w:t>Gesetzliche Arbeitszeitgrenzen, berechtigte Geheimhaltungsinteressen und Wettbewerbsverbote sind auch bei einer gestatteten Nebentätigkeit einzuhalten. Änderungen des Umfangs oder Inhalts sind erneut anzuzeigen.</w:t>
      </w:r>
    </w:p>
    <w:p>
      <w:pPr>
        <w:pStyle w:val="Heading1"/>
      </w:pPr>
      <w:r>
        <w:t>13. Diensterfindungen und Verbesserungsvorschläge</w:t>
      </w:r>
    </w:p>
    <w:p>
      <w:r>
        <w:t>Für Erfindungen und technische Verbesserungsvorschläge gilt das Arbeitnehmererfindungsgesetz. Meldungen sind unverzüglich in einer Weise einzureichen, die Aufgabe, Entstehung und beteiligte Personen erkennen lässt.</w:t>
      </w:r>
    </w:p>
    <w:p>
      <w:pPr>
        <w:pStyle w:val="Heading1"/>
      </w:pPr>
      <w:r>
        <w:t>14. Arbeitsmittel und Rückgabe</w:t>
      </w:r>
    </w:p>
    <w:p>
      <w:r>
        <w:t>Überlassene Geräte, Schlüssel, Token, Unterlagen und Datenträger bleiben Eigentum der Arbeitgeberin. Spätestens bei Ende des Arbeitsverhältnisses sind sie vollständig zurückzugeben; betriebliche Daten auf privaten Systemen sind nach abgestimmter Übergabe zu löschen.</w:t>
      </w:r>
    </w:p>
    <w:p>
      <w:r>
        <w:t>Ein Zurückbehaltungsrecht an Quellcode, Zugangsdaten, Dokumentationen oder Kundendaten ist ausgeschlossen, soweit gesetzlich zulässig.</w:t>
      </w:r>
    </w:p>
    <w:p>
      <w:pPr>
        <w:pStyle w:val="Heading1"/>
      </w:pPr>
      <w:r>
        <w:t>15. Kündigung und Freistellung</w:t>
      </w:r>
    </w:p>
    <w:p>
      <w:r>
        <w:t>Nach der Probezeit gilt für beide Parteien eine Kündigungsfrist von vier Wochen zum Fünfzehnten oder zum Ende eines Kalendermonats. Gesetzliche Verlängerungen der Frist für die Arbeitgeberin gelten auch für die Arbeitnehmerin.</w:t>
      </w:r>
    </w:p>
    <w:p>
      <w:r>
        <w:t>Kündigungen bedürfen der gesetzlichen Schriftform. Die Arbeitgeberin kann nach Ausspruch einer Kündigung unter Fortzahlung der Vergütung und Anrechnung offener Urlaubs- und Freizeitausgleichsansprüche freistellen, soweit berechtigte Interessen dies tragen.</w:t>
      </w:r>
    </w:p>
    <w:p>
      <w:pPr>
        <w:pStyle w:val="Heading1"/>
      </w:pPr>
      <w:r>
        <w:t>16. Ausschlussfrist</w:t>
      </w:r>
    </w:p>
    <w:p>
      <w:r>
        <w:t>Ansprüche aus dem Arbeitsverhältnis sind innerhalb von drei Monaten nach Fälligkeit in Textform geltend zu machen und, wenn die Gegenseite sie ablehnt oder sich nicht binnen zwei Wochen erklärt, binnen weiterer drei Monate gerichtlich geltend zu machen. Die Klausel gilt nicht für gesetzlich unverzichtbare Ansprüche, Mindestlohn, Vorsatz oder Schäden an Leben, Körper oder Gesundheit.</w:t>
      </w:r>
    </w:p>
    <w:p>
      <w:pPr>
        <w:pStyle w:val="Heading1"/>
      </w:pPr>
      <w:r>
        <w:t>17. Schlussbestimmungen</w:t>
      </w:r>
    </w:p>
    <w:p>
      <w:r>
        <w:t>Änderungen und Ergänzungen dieses Vertrags sollen in Textform festgehalten werden, soweit nicht gesetzlich eine strengere Form gilt. Individuelle Abreden bleiben unberührt.</w:t>
      </w:r>
    </w:p>
    <w:p>
      <w:r>
        <w:t>Sollte eine Bestimmung unwirksam sein oder werden, bleibt der Vertrag im Übrigen bestehen. Die Parteien werden die unwirksame Regelung durch eine zulässige Regelung ersetzen, die dem dokumentierten wirtschaftlichen Zweck möglichst nahekommt.</w:t>
      </w:r>
    </w:p>
    <w:p>
      <w:pPr>
        <w:pStyle w:val="Heading1"/>
      </w:pPr>
      <w:r>
        <w:t>18. Unterschriften</w:t>
      </w:r>
    </w:p>
    <w:p>
      <w:r>
        <w:t>Heidelberg, 12.04.2024 — Kurpfalz Taxware GmbH, Martin Reuter, Geschäftsführer, handschriftlich unterzeichnet.</w:t>
      </w:r>
    </w:p>
    <w:p>
      <w:r>
        <w:t>Heidelberg, 15.04.2024 — Nina Scholl, handschriftlich unterzeichnet. Jede Partei bestätigt den Erhalt einer gegengezeichneten Ausfertigung.</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Arbeitsvertrag Nina Scholl</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