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Rahmenvertrag freie Softwareentwicklung Lukas Binder</w:t>
      </w:r>
    </w:p>
    <w:p>
      <w:pPr>
        <w:pStyle w:val="Heading1"/>
      </w:pPr>
      <w:r>
        <w:t>1. Vertragsparteien</w:t>
      </w:r>
    </w:p>
    <w:p>
      <w:r>
        <w:t>Zwischen der Kurpfalz Taxware GmbH, damals Rohrbacher Straße 77, 69115 Heidelberg, vertreten durch Geschäftsführer Martin Reuter, und Herrn Lukas Binder, Binder Software, Carl-Theodor-Straße 9, 68723 Schwetzingen, wird am 14. Juni 2017 dieser Rahmenvertrag über freie Softwareentwicklung geschlossen.</w:t>
      </w:r>
    </w:p>
    <w:p>
      <w:r>
        <w:t>Der Auftragnehmer erbringt seine Leistungen selbständig, ist in der Wahl von Arbeitszeit und Arbeitsort frei und schuldet die in Einzelaufträgen bezeichneten Ergebnisse und Abstimmungen. Ein Arbeitsverhältnis wird nicht begründet.</w:t>
      </w:r>
    </w:p>
    <w:p>
      <w:pPr>
        <w:pStyle w:val="Heading1"/>
      </w:pPr>
      <w:r>
        <w:t>2. Leistungsgegenstand</w:t>
      </w:r>
    </w:p>
    <w:p>
      <w:r>
        <w:t>Gegenstand ist die Konzeption und Implementierung eines Regel- und Normalisierungsmoduls für das Produkt TaxEngine Classic einschließlich Umsatzsteuer-Zeiträumen, Fristenlogik, Importvalidierung, Tests und technischer Dokumentation. Einzelheiten, Meilensteine und Abnahmen werden in Leistungsabrufen festgelegt.</w:t>
      </w:r>
    </w:p>
    <w:p>
      <w:pPr>
        <w:pStyle w:val="Heading1"/>
      </w:pPr>
      <w:r>
        <w:t>3. Mitwirkung und Systeme</w:t>
      </w:r>
    </w:p>
    <w:p>
      <w:r>
        <w:t>Die Auftraggeberin stellt fachliche Spezifikationen und anonymisierte Beispieldaten bereit. Produktive Mandantendaten dürfen dem Auftragnehmer nur nach gesonderter Freigabe zugänglich gemacht werden. Zugänge sind personenbezogen und nach Ende eines Abrufs zu löschen.</w:t>
      </w:r>
    </w:p>
    <w:p>
      <w:pPr>
        <w:pStyle w:val="Heading1"/>
      </w:pPr>
      <w:r>
        <w:t>4. Vergütung und Abrechnung</w:t>
      </w:r>
    </w:p>
    <w:p>
      <w:r>
        <w:t>Der Stundensatz beträgt 105,00 EUR netto. Abgerechnet wird monatlich nach Tätigkeitsnachweis; Reisezeiten werden zu 50 Prozent, notwendige Reisekosten nach Beleg vergütet. Zahlungsziel sind 14 Kalendertage nach prüffähigem Rechnungseingang.</w:t>
      </w:r>
    </w:p>
    <w:p>
      <w:pPr>
        <w:pStyle w:val="Heading1"/>
      </w:pPr>
      <w:r>
        <w:t>5. Abnahme</w:t>
      </w:r>
    </w:p>
    <w:p>
      <w:r>
        <w:t>Werkbezogene Ergebnisse werden nach Bereitstellung einer lauffähigen Fassung und der vereinbarten Tests innerhalb von zehn Werktagen geprüft. Beanstandungen sind mit reproduzierbaren Schritten mitzuteilen. Erfolgt keine Rückmeldung, gilt dies allein dann als Abnahme, wenn die Auftraggeberin bei Bereitstellung in Textform auf diese Folge hingewiesen wurde.</w:t>
      </w:r>
    </w:p>
    <w:p>
      <w:pPr>
        <w:pStyle w:val="Heading1"/>
      </w:pPr>
      <w:r>
        <w:t>6. Rechte an neu geschaffenen Ergebnissen</w:t>
      </w:r>
    </w:p>
    <w:p>
      <w:r>
        <w:t>An den speziell aufgrund eines vergüteten Leistungsabrufs für TaxEngine Classic neu geschaffenen und abgenommenen Quelltexten, Tests und Dokumentationen räumt der Auftragnehmer der Auftraggeberin mit vollständiger Zahlung ein ausschließliches, weltweites und zeitlich unbeschränktes Recht zur Vervielfältigung, Bearbeitung, Verbindung, Verbreitung, öffentlichen Zugänglichmachung, Unterlizenzierung und Übertragung zusammen mit dem Produkt oder Unternehmen ein. Entwurfsstände werden erfasst, soweit sie übergeben und vergütet sind.</w:t>
      </w:r>
    </w:p>
    <w:p>
      <w:pPr>
        <w:pStyle w:val="Heading1"/>
      </w:pPr>
      <w:r>
        <w:t>7. Vorbestehende Bestandteile</w:t>
      </w:r>
    </w:p>
    <w:p>
      <w:r>
        <w:t>Vorbestehende Werkzeuge, Bibliotheken und Regelbausteine des Auftragnehmers bleiben von der ausschließlichen Rechtseinräumung ausgenommen, wenn sie in Anlage 2 konkret bezeichnet sind. Soweit solche Bestandteile in ein Arbeitsergebnis eingebettet werden, räumt der Auftragnehmer der Auftraggeberin daran ein einfaches, unwiderrufliches, weltweites und zeitlich unbeschränktes Recht ein, sie als Teil von TaxEngine Classic zu nutzen, zu bearbeiten, zu vervielfältigen und mit dem Produkt an Kunden und Rechtsnachfolger weiterzugeben.</w:t>
      </w:r>
    </w:p>
    <w:p>
      <w:pPr>
        <w:pStyle w:val="Heading1"/>
      </w:pPr>
      <w:r>
        <w:t>8. Drittsoftware und Open Source</w:t>
      </w:r>
    </w:p>
    <w:p>
      <w:r>
        <w:t>Drittsoftware darf nur nach vorheriger Zustimmung der Auftraggeberin eingesetzt werden. Der Auftragnehmer nennt Komponente, Version und Lizenz und übergibt die erforderlichen Lizenztexte. Komponenten, die eine Offenlegung von TaxEngine-Quellcode oder eine Lizenzierung des Gesamtwerks zu abweichenden Bedingungen verlangen können, bedürfen einer ausdrücklichen schriftlichen Zustimmung.</w:t>
      </w:r>
    </w:p>
    <w:p>
      <w:pPr>
        <w:pStyle w:val="Heading1"/>
      </w:pPr>
      <w:r>
        <w:t>9. Gewährleistung der Herkunft</w:t>
      </w:r>
    </w:p>
    <w:p>
      <w:r>
        <w:t>Der Auftragnehmer erklärt, zur Einräumung der in diesem Vertrag beschriebenen Rechte befugt zu sein und keine ihm bekannten Rechte Dritter entgegenstehen zu lassen. Ansprüche wegen einer von ihm zu vertretenden Pflichtverletzung richten sich nach den gesetzlichen Vorschriften mit den Haftungsbegrenzungen dieses Vertrags.</w:t>
      </w:r>
    </w:p>
    <w:p>
      <w:pPr>
        <w:pStyle w:val="Heading1"/>
      </w:pPr>
      <w:r>
        <w:t>10. Vertraulichkeit</w:t>
      </w:r>
    </w:p>
    <w:p>
      <w:r>
        <w:t>Quellcode, Fachkonzepte, Kundendaten und nicht veröffentlichte Geschäftsunterlagen sind vertraulich zu behandeln und ausschließlich für den Auftrag zu verwenden. Die Pflicht gilt fünf Jahre nach Vertragsende fort; Geschäftsgeheimnisse sind solange zu schützen, wie ihre Geheimniseigenschaft besteht.</w:t>
      </w:r>
    </w:p>
    <w:p>
      <w:pPr>
        <w:pStyle w:val="Heading1"/>
      </w:pPr>
      <w:r>
        <w:t>11. Haftung</w:t>
      </w:r>
    </w:p>
    <w:p>
      <w:r>
        <w:t>Bei leichter Fahrlässigkeit haftet jede Partei nur für die Verletzung wesentlicher Vertragspflichten und begrenzt auf den vorhersehbaren vertragstypischen Schaden. Die Begrenzung gilt nicht bei Vorsatz, grober Fahrlässigkeit, Verletzung von Leben, Körper oder Gesundheit sowie zwingender Haftung.</w:t>
      </w:r>
    </w:p>
    <w:p>
      <w:pPr>
        <w:pStyle w:val="Heading1"/>
      </w:pPr>
      <w:r>
        <w:t>12. Laufzeit und Beendigung</w:t>
      </w:r>
    </w:p>
    <w:p>
      <w:r>
        <w:t>Der Vertrag beginnt mit Unterzeichnung und kann mit vier Wochen Frist zum Monatsende gekündigt werden. Laufende Einzelaufträge werden geordnet abgeschlossen oder nach dokumentiertem Stand übergeben. Nach Vertragsende sind Zugänge, Daten und Arbeitsunterlagen zurückzugeben oder auf Weisung zu löschen.</w:t>
      </w:r>
    </w:p>
    <w:p>
      <w:pPr>
        <w:pStyle w:val="Heading1"/>
      </w:pPr>
      <w:r>
        <w:t>13. Schlussbestimmungen</w:t>
      </w:r>
    </w:p>
    <w:p>
      <w:r>
        <w:t>Änderungen und Einzelaufträge bedürfen mindestens der Textform. Es gilt deutsches Recht. Gerichtsstand wird, soweit zulässig, Heidelberg vereinbart. Anlage 1 Leistungsbeschreibung und Anlage 2 Vorbestand sind Bestandteil des Vertrags.</w:t>
      </w:r>
    </w:p>
    <w:p>
      <w:pPr>
        <w:pStyle w:val="Heading1"/>
      </w:pPr>
      <w:r>
        <w:t>14. Unterschriften</w:t>
      </w:r>
    </w:p>
    <w:p>
      <w:r>
        <w:t>Heidelberg, 14.06.2017 — Martin Reuter für die Kurpfalz Taxware GmbH, handschriftlich unterzeichnet.</w:t>
      </w:r>
    </w:p>
    <w:p>
      <w:r>
        <w:t>Schwetzingen, 14.06.2017 — Lukas Binder, handschriftlich unterzeichnet. Beide Ausfertigungen tragen auf jeder Anlagenseite Paraphen, wobei die im Datenraum vorhandene Anlage 2 den Stand '2.4' ausweist.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Rahmenvertrag freie Softwareentwicklung Lukas Binder</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