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Softwarelizenz- und Pflegevertrag Müller &amp; Reiter</w:t>
      </w:r>
    </w:p>
    <w:p>
      <w:pPr>
        <w:pStyle w:val="Heading1"/>
      </w:pPr>
      <w:r>
        <w:t>1. Vertragsparteien und Gegenstand</w:t>
      </w:r>
    </w:p>
    <w:p>
      <w:r>
        <w:t>Zwischen der Kurpfalz Taxware GmbH, Im Neuenheimer Feld 583, 69120 Heidelberg, und Müller &amp; Reiter Steuerberatung PartG mbB, Sofienstraße 12, 69115 Heidelberg, wird am 18.01.2024 dieser Softwarelizenz- und Pflegevertrag geschlossen.</w:t>
      </w:r>
    </w:p>
    <w:p>
      <w:r>
        <w:rPr>
          <w:b/>
        </w:rPr>
        <w:t>Vertragsgegenstand ist FiscusPilot Kanzlei Enterprise 4.x einschließlich Tax Core, Mandantenportal und DocFlow für bis zu 80 namentlich zugeordnete Nutzerinnen und Nutzer an drei Kanzleistandorten. Bereitstellungsmodell:</w:t>
      </w:r>
      <w:r>
        <w:t xml:space="preserve"> On-Premise-Container im Rechenzentrum der Kundin mit gesondertem Cloud-Mandantenportal. Funktionsbeschreibungen und Systemvoraussetzungen ergeben sich aus Anlage 1.</w:t>
      </w:r>
    </w:p>
    <w:p>
      <w:pPr>
        <w:pStyle w:val="Heading1"/>
      </w:pPr>
      <w:r>
        <w:t>2. Nutzungsumfang</w:t>
      </w:r>
    </w:p>
    <w:p>
      <w:r>
        <w:t>Die Kundin erhält für die Vertragsdauer ein einfaches, nicht ausschließliches Recht, die Software im vereinbarten Umfang für eigene interne Geschäfts- und Beratungszwecke zu nutzen. Eine Bearbeitung ist nur für vertragsgemäße Konfigurationen und gesetzlich zwingend gestattete Handlungen zulässig.</w:t>
      </w:r>
    </w:p>
    <w:p>
      <w:r>
        <w:t>Vervielfältigungen sind nur als technisch erforderliche Installations-, Arbeits- und Sicherungskopien zulässig. Copyright-, Lizenz- und Herkunftsvermerke sind beizubehalten.</w:t>
      </w:r>
    </w:p>
    <w:p>
      <w:pPr>
        <w:pStyle w:val="Heading1"/>
      </w:pPr>
      <w:r>
        <w:t>3. Zugänge und Verantwortlichkeiten</w:t>
      </w:r>
    </w:p>
    <w:p>
      <w:r>
        <w:t>Zugänge sind natürlichen Personen zuzuordnen und vor Zugriffen Dritter zu schützen. Die Kundin sorgt für aktuelle Endgeräte, Browser und lokale Sicherungsabläufe, soweit das Bereitstellungsmodell dies verlangt.</w:t>
      </w:r>
    </w:p>
    <w:p>
      <w:r>
        <w:t>Die Anbieterin dokumentiert wesentliche Änderungen, stellt Release-Hinweise bereit und unterhält während der Servicezeiten einen Supportkanal.</w:t>
      </w:r>
    </w:p>
    <w:p>
      <w:pPr>
        <w:pStyle w:val="Heading1"/>
      </w:pPr>
      <w:r>
        <w:t>4. Vergütung</w:t>
      </w:r>
    </w:p>
    <w:p>
      <w:r>
        <w:t>Die vereinbarte Vergütung beträgt 48.000,00 EUR netto einmalige Lizenzvergütung und 18.600,00 EUR netto jährliche Pflegevergütung, jeweils zuzüglich gesetzlicher Umsatzsteuer. Die Lizenzvergütung wurde nach Abnahme der Migration fällig; Pflege wird jährlich im Voraus berechnet. Rechnungen sind 14 Tage nach Zugang ohne Abzug fällig. Reise- und Fremdkosten werden nur nach vorheriger Freigabe gesondert berechnet.</w:t>
      </w:r>
    </w:p>
    <w:p>
      <w:pPr>
        <w:pStyle w:val="Heading1"/>
      </w:pPr>
      <w:r>
        <w:t>5. Laufzeit und Kündigung</w:t>
      </w:r>
    </w:p>
    <w:p>
      <w:r>
        <w:t>Der Vertrag beginnt am 1. Februar 2024 und hat eine feste Erstlaufzeit bis 31. Januar 2027. Er verlängert sich jeweils um zwölf Monate, wenn er nicht neun Monate vor Laufzeitende gekündigt wird. Das Pflegejahr entspricht dem Kalenderjahr; im ersten und letzten Teiljahr wird zeitanteilig abgerechnet.</w:t>
      </w:r>
    </w:p>
    <w:p>
      <w:r>
        <w:t>Das Recht zur Kündigung aus wichtigem Grund bleibt bestehen. Kündigungen bedürfen mindestens der Textform. Bei Vertragsende werden Exporte in den dokumentierten Standardformaten bereitgestellt, soweit sie vom gewählten Modul unterstützt werden.</w:t>
      </w:r>
    </w:p>
    <w:p>
      <w:pPr>
        <w:pStyle w:val="Heading1"/>
      </w:pPr>
      <w:r>
        <w:t>6. Übertragung und Vertragswechsel</w:t>
      </w:r>
    </w:p>
    <w:p>
      <w:r>
        <w:t>Die Anbieterin darf diesen Vertrag oder einzelne Rechte und Pflichten daraus nur mit vorheriger schriftlicher Zustimmung der Kundin auf einen Dritten übertragen. Die Zustimmung darf nicht unbillig verweigert werden, wenn der Dritte fachlich und wirtschaftlich zur Fortführung von Pflege, Datenschutz und Vertraulichkeit in der Lage ist. Keine Zustimmung ist bei Gesamtrechtsnachfolge erforderlich. Eine Unterbeauftragung technischer Leistungen bleibt nach Maßgabe der Auftragsverarbeitungsvereinbarung möglich.</w:t>
      </w:r>
    </w:p>
    <w:p>
      <w:pPr>
        <w:pStyle w:val="Heading1"/>
      </w:pPr>
      <w:r>
        <w:t>7. Pflege und Verfügbarkeit</w:t>
      </w:r>
    </w:p>
    <w:p>
      <w:r>
        <w:t>Pflege umfasst Fehlerkorrekturen, gesetzlich veranlasste Regelupdates im vereinbarten Modul und reguläre Releases. Eine bestimmte steuerliche oder wirtschaftliche Entscheidung wird durch die Software nicht geschuldet.</w:t>
      </w:r>
    </w:p>
    <w:p>
      <w:r>
        <w:t>Geplante Wartungen sollen fünf Werktage vorher angekündigt werden. Zeiten höherer Gewalt, kundenseitiger Störungen und angekündigter Wartung werden bei der Verfügbarkeitsmessung nach Anlage 2 behandelt.</w:t>
      </w:r>
    </w:p>
    <w:p>
      <w:pPr>
        <w:pStyle w:val="Heading1"/>
      </w:pPr>
      <w:r>
        <w:t>8. Datenschutz und Vertraulichkeit</w:t>
      </w:r>
    </w:p>
    <w:p>
      <w:r>
        <w:t>Die Parteien behandeln vertrauliche Unterlagen und Zugangsdaten geheim. Soweit die Anbieterin personenbezogene Daten im Auftrag verarbeitet, gilt die gesonderte Vereinbarung zur Auftragsverarbeitung einschließlich der dort benannten Unterauftragnehmer.</w:t>
      </w:r>
    </w:p>
    <w:p>
      <w:pPr>
        <w:pStyle w:val="Heading1"/>
      </w:pPr>
      <w:r>
        <w:t>9. Besondere Vereinbarung</w:t>
      </w:r>
    </w:p>
    <w:p>
      <w:r>
        <w:t>Der jeweils freigegebene Quellcode der On-Premise-Komponenten, Build-Anleitung und Abhängigkeitsliste werden quartalsweise bei Rhein-Neckar Escrow e.K. hinterlegt. Die Kundin kann die Herausgabe nach den Bedingungen des Escrow-Nachtrags verlangen, insbesondere wenn ein Insolvenzverfahren über das Vermögen der Anbieterin eröffnet wird und Pflegeleistungen nicht binnen 30 Kalendertagen nach schriftlicher Aufforderung fortgeführt werden. Der Nachtrag bestimmt eigenständig den Umfang einer zulässigen Nutzung nach Herausgabe.</w:t>
      </w:r>
    </w:p>
    <w:p>
      <w:pPr>
        <w:pStyle w:val="Heading1"/>
      </w:pPr>
      <w:r>
        <w:t>10. Haftung und Mängel</w:t>
      </w:r>
    </w:p>
    <w:p>
      <w:r>
        <w:t>Die gesetzlichen Mängelrechte gelten mit der Maßgabe, dass die Kundin reproduzierbare Fehler samt Umgebung und Arbeitsschritten meldet. Bei leichter Fahrlässigkeit haftet die Anbieterin nur bei Verletzung wesentlicher Vertragspflichten und begrenzt auf den vertragstypisch vorhersehbaren Schaden; zwingende Haftung bleibt unberührt.</w:t>
      </w:r>
    </w:p>
    <w:p>
      <w:pPr>
        <w:pStyle w:val="Heading1"/>
      </w:pPr>
      <w:r>
        <w:t>11. Schlussbestimmungen und Unterschriften</w:t>
      </w:r>
    </w:p>
    <w:p>
      <w:r>
        <w:t>Änderungen dieses Vertrags bedürfen der Textform, soweit keine strengere Form gesetzlich vorgeschrieben ist. Es gilt deutsches Recht. Anlagen 1 bis 3 sind Vertragsbestandteil.</w:t>
      </w:r>
    </w:p>
    <w:p>
      <w:r>
        <w:t>Heidelberg, 18.01.2024 — Kurpfalz Taxware GmbH, Martin Reuter, Geschäftsführer, handschriftlich unterzeichnet.</w:t>
      </w:r>
    </w:p>
    <w:p>
      <w:r>
        <w:t>Müller &amp; Reiter Steuerberatung PartG mbB, 18.01.2024 — StB Dr. Helena Müller, Partnerin, handschriftlich unterzeichnet.</w:t>
      </w:r>
    </w:p>
    <w:sectPr w:rsidR="00FC693F" w:rsidRPr="0006063C" w:rsidSect="00034616">
      <w:headerReference w:type="default" r:id="rId9"/>
      <w:footerReference w:type="default" r:id="rId10"/>
      <w:pgSz w:w="12240" w:h="15840"/>
      <w:pgMar w:top="1276" w:right="1219" w:bottom="1134"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A6064"/>
        <w:sz w:val="16"/>
      </w:rPr>
      <w:t>FiscusPilot – Software-IP in der Insolvenz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Times New Roman" w:hAnsi="Times New Roman" w:eastAsia="Times New Roman"/>
      <w:b/>
      <w:bCs/>
      <w:color w:val="183A55"/>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eastAsia="Times New Roman"/>
      <w:b/>
      <w:bCs/>
      <w:color w:val="3C5365"/>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Times New Roman" w:hAnsi="Times New Roman" w:eastAsia="Times New Roman"/>
      <w:b/>
      <w:bCs/>
      <w:color w:val="3C536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Times New Roman" w:hAnsi="Times New Roman" w:eastAsia="Times New Roman"/>
      <w:b/>
      <w:color w:val="183A55"/>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Softwarelizenz- und Pflegevertrag Müller &amp; Reiter</dc:title>
  <dc:subject>FiscusPilot – Software-IP in der Insolvenz</dc:subject>
  <dc:creator>Fiktive Aktenstelle</dc:creator>
  <cp:keywords>Urheberrecht, Immaterialgüterrecht, Insolvenzrecht</cp:keywords>
  <dc:description>generated by python-docx</dc:description>
  <cp:lastModifiedBy/>
  <cp:revision>1</cp:revision>
  <dcterms:created xsi:type="dcterms:W3CDTF">2026-10-23T09:00:00Z</dcterms:created>
  <dcterms:modified xsi:type="dcterms:W3CDTF">2026-10-23T09:00:00Z</dcterms:modified>
  <cp:category/>
</cp:coreProperties>
</file>