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Sicherungsvertrag über Software-Nutzungsrechte</w:t>
      </w:r>
    </w:p>
    <w:p>
      <w:pPr>
        <w:pStyle w:val="Heading1"/>
      </w:pPr>
      <w:r>
        <w:t>1. Vertragsparteien und Bezug</w:t>
      </w:r>
    </w:p>
    <w:p>
      <w:r>
        <w:t>Sicherungsvertrag vom 15. März 2023 zwischen der Kurpfalz Taxware GmbH als Sicherungsgeberin und der Rhenus Kreditbank AG als Sicherheitennehmerin. Der Vertrag bezieht sich auf den Darlehensvertrag RK-2023-4471 desselben Datums.</w:t>
      </w:r>
    </w:p>
    <w:p>
      <w:r>
        <w:t>Die Parteien bezeichnen die Sicherheitenbestellung als ergänzende Kreditsicherheit. Besitz, Betrieb und gewöhnliche Kundenlizenzierung sollen bis zu einem Verwertungsereignis bei der Sicherungsgeberin verbleiben.</w:t>
      </w:r>
    </w:p>
    <w:p>
      <w:pPr>
        <w:pStyle w:val="Heading1"/>
      </w:pPr>
      <w:r>
        <w:t>2. Sicherungszweck und gesicherte Ansprüche</w:t>
      </w:r>
    </w:p>
    <w:p>
      <w:r>
        <w:t>Sicherungszweck ist die Sicherung sämtlicher gegenwärtigen, künftigen und bedingten Ansprüche der Bank gegen die Sicherungsgeberin aus dem Darlehensvertrag RK-2023-4471, seiner Durchführung, Kündigung und Rückabwicklung einschließlich Zinsen, Kosten und angemessener Rechtsverfolgungskosten. Die Haftungsobergrenze der Sicherheit beträgt 3.200.000,00 EUR zuzüglich Verwertungskosten.</w:t>
      </w:r>
    </w:p>
    <w:p>
      <w:pPr>
        <w:pStyle w:val="Heading1"/>
      </w:pPr>
      <w:r>
        <w:t>3. Bezeichnete Software</w:t>
      </w:r>
    </w:p>
    <w:p>
      <w:r>
        <w:t>Erfasst werden die in Anlage S-1 aufgeführten Programme und Module der Produktfamilie FiscusPilot, insbesondere FiscusPilot Kanzlei, FiscusPilot Mittelstand, TaxEngine/Core, DocFlow, LedgerFlow, Webportal, mobile Belegerfassung sowie zugehörige Schnittstellen, Administrationswerkzeuge, Dokumentationen und Testbestände.</w:t>
      </w:r>
    </w:p>
    <w:p>
      <w:r>
        <w:t>Die Bezeichnungen in Anlage S-1 schließen dort ausdrücklich genannte frühere Namen und technisch-organisatorische Nachfolgefassungen ein. Kunden- und personenbezogene Daten sind nicht Gegenstand der Rechtebestellung.</w:t>
      </w:r>
    </w:p>
    <w:p>
      <w:pPr>
        <w:pStyle w:val="Heading1"/>
      </w:pPr>
      <w:r>
        <w:t>4. Rechtseinräumung zur Sicherheit</w:t>
      </w:r>
    </w:p>
    <w:p>
      <w:r>
        <w:t>Die Sicherungsgeberin räumt der Bank an der bezeichneten Software alle ihr zustehenden ausschließlichen Nutzungsrechte zur Sicherheit ein, soweit diese Rechte übertragbar oder einräumbar sind. Die Rechtseinräumung ist räumlich und zeitlich unbeschränkt und umfasst Quell- und Objektcode, Vervielfältigung, Verbreitung, Bearbeitung, Portierung, Verbindung, öffentliche Zugänglichmachung, Hosting, SaaS-Nutzung, Unterlizenzierung und die Weiterübertragung im Rahmen einer zulässigen Verwertung.</w:t>
      </w:r>
    </w:p>
    <w:p>
      <w:r>
        <w:t>Die Parteien wollen auch im Sicherungszeitraum entstehende Updates, Upgrades, Module und Dokumentationen erfassen, sofern sie der Sicherungsgeberin zustehen und der bezeichneten Produktfamilie zugeordnet werden. Die Sicherungsgeberin wird erforderliche Einzelakte und Zustimmungen auf Anforderung dokumentieren.</w:t>
      </w:r>
    </w:p>
    <w:p>
      <w:pPr>
        <w:pStyle w:val="Heading1"/>
      </w:pPr>
      <w:r>
        <w:t>5. Ausübung im gewöhnlichen Geschäftsbetrieb</w:t>
      </w:r>
    </w:p>
    <w:p>
      <w:r>
        <w:t>Die Bank gestattet der Sicherungsgeberin widerruflich, die gesicherten Rechte im gewöhnlichen Geschäftsbetrieb auszuüben, die Software zu entwickeln, zu pflegen, zu hosten und Endkunden einfache Nutzungsrechte zu marktüblichen Bedingungen einzuräumen. Ausschließliche Lizenzen, Übertragungen des Produktgeschäfts und weitere Sicherheiten bedürfen vorheriger Zustimmung der Bank.</w:t>
      </w:r>
    </w:p>
    <w:p>
      <w:pPr>
        <w:pStyle w:val="Heading1"/>
      </w:pPr>
      <w:r>
        <w:t>6. Repositorien und Hinterlegung</w:t>
      </w:r>
    </w:p>
    <w:p>
      <w:r>
        <w:t>Die Sicherungsgeberin führt aktuelle Quellcodes in den in Anlage S-2 bezeichneten Repositorien und erstellt zum Quartalsende ein verschlüsseltes Backup. Auf Verlangen erhält die Bank eine Hashliste und eine Bestätigung des technischen Verwahrers; produktive Zugangsdaten sollen nur bei Eintritt eines Verwertungsereignisses übergeben werden.</w:t>
      </w:r>
    </w:p>
    <w:p>
      <w:pPr>
        <w:pStyle w:val="Heading1"/>
      </w:pPr>
      <w:r>
        <w:t>7. Zusicherungen und Informationspflichten</w:t>
      </w:r>
    </w:p>
    <w:p>
      <w:r>
        <w:t>Die Sicherungsgeberin erklärt, nach ihrer Dokumentation Inhaberin der für den Geschäftsbetrieb erforderlichen Nutzungsrechte zu sein. Sie legt der Bank auf Anforderung Verträge mit wesentlichen Entwicklerinnen, Entwicklern und Auftragnehmern sowie eine Liste wesentlicher Drittkomponenten vor.</w:t>
      </w:r>
    </w:p>
    <w:p>
      <w:r>
        <w:t>Streitigkeiten über Herkunft oder Umfang der Rechte, wesentliche Lizenzverstöße, Verlust von Repositorien, Verfügungen Dritter und Pfändungen sind unverzüglich mitzuteilen. Die Bank darf die Dokumentation durch zur Vertraulichkeit verpflichtete Sachverständige prüfen lassen.</w:t>
      </w:r>
    </w:p>
    <w:p>
      <w:pPr>
        <w:pStyle w:val="Heading1"/>
      </w:pPr>
      <w:r>
        <w:t>8. Verfügungsbeschränkungen im Innenverhältnis</w:t>
      </w:r>
    </w:p>
    <w:p>
      <w:r>
        <w:t>Die Sicherungsgeberin verpflichtet sich, die gesicherten Rechte außerhalb gewöhnlicher Kundenlizenzen weder zu übertragen noch anderweitig zu belasten, aufzugeben oder über ausschließliche Rechte zu verfügen, solange die Bank nicht vorher in Textform zustimmt. Gesetzlich zwingende Verfügungsbefugnisse Dritter werden durch diese Vereinbarung nicht beschrieben.</w:t>
      </w:r>
    </w:p>
    <w:p>
      <w:pPr>
        <w:pStyle w:val="Heading1"/>
      </w:pPr>
      <w:r>
        <w:t>9. Verwertungsereignis und Verwertungsablauf</w:t>
      </w:r>
    </w:p>
    <w:p>
      <w:r>
        <w:t>Ein Verwertungsereignis liegt vor, wenn gesicherte Ansprüche fällig und nicht erfüllt sind, der Darlehensvertrag wirksam aus wichtigem Grund beendet wurde oder ein Insolvenzverfahren beantragt wird, soweit die Verwertung rechtlich zulässig ist. Die Bank zeigt der Sicherungsgeberin die beabsichtigte Verwertung an und berücksichtigt berechtigte Interessen an einem geordneten Weiterbetrieb.</w:t>
      </w:r>
    </w:p>
    <w:p>
      <w:r>
        <w:t>Die Verwertung kann nach Maßgabe der anwendbaren Vorschriften durch Lizenzierung, Verkauf oder Übertragung der gesicherten Rechtspositionen erfolgen. Die Bank darf fachkundige Dritte einschalten; Erlöse werden nach Abzug angemessener Kosten auf die gesicherten Ansprüche angerechnet.</w:t>
      </w:r>
    </w:p>
    <w:p>
      <w:pPr>
        <w:pStyle w:val="Heading1"/>
      </w:pPr>
      <w:r>
        <w:t>10. Freigabe und Rückgewähr</w:t>
      </w:r>
    </w:p>
    <w:p>
      <w:r>
        <w:t>Soweit der realisierbare Wert aller Sicherheiten die gesicherten Ansprüche auf Dauer um mehr als 20 Prozent übersteigt, wird die Bank auf Verlangen Sicherheiten nach ihrer Wahl freigeben. Nach vollständiger und endgültiger Erfüllung aller gesicherten Ansprüche werden die zur Sicherheit eingeräumten Rechte zurückgewährt.</w:t>
      </w:r>
    </w:p>
    <w:p>
      <w:pPr>
        <w:pStyle w:val="Heading1"/>
      </w:pPr>
      <w:r>
        <w:t>11. Mitteilungen bei Krise und Verfahren</w:t>
      </w:r>
    </w:p>
    <w:p>
      <w:r>
        <w:t>Die Sicherungsgeberin unterrichtet die Bank unverzüglich über drohende Zahlungsunfähigkeit, Insolvenzanträge, vorläufige Sicherungsmaßnahmen und die Bestellung einer Verwalterin oder eines Verwalters. Sie gestattet der Bank, dieser Person eine Vertragskopie und die Anlagen zu übermitteln.</w:t>
      </w:r>
    </w:p>
    <w:p>
      <w:pPr>
        <w:pStyle w:val="Heading1"/>
      </w:pPr>
      <w:r>
        <w:t>12. Schlussbestimmungen</w:t>
      </w:r>
    </w:p>
    <w:p>
      <w:r>
        <w:t>Es gilt deutsches Recht. Gerichtsstand ist, soweit zulässig, Mannheim. Änderungen, Freigaben und Zustimmungen sollen in Textform dokumentiert werden. Anlagen S-1 bis S-3 sind Vertragsbestandteil; bei Widersprüchen geht der Vertragstext vor.</w:t>
      </w:r>
    </w:p>
    <w:p>
      <w:pPr>
        <w:pStyle w:val="Heading1"/>
      </w:pPr>
      <w:r>
        <w:t>13. Unterschriften</w:t>
      </w:r>
    </w:p>
    <w:p>
      <w:r>
        <w:t>Mannheim, 15.03.2023 — Rhenus Kreditbank AG, Silke Brandt und Beate Abele, handschriftlich unterzeichnet.</w:t>
      </w:r>
    </w:p>
    <w:p>
      <w:r>
        <w:t>Heidelberg, 15.03.2023 — Kurpfalz Taxware GmbH, Martin Reuter, handschriftlich unterzeichnet. Jede Partei bestätigt den Erhalt einer gegengezeichneten Ausfertigung samt Anlagen.</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Sicherungsvertrag über Software-Nutzungsrechte</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