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Sicherungsabtretung der Lizenz-, Pflege- und Supportforderungen</w:t>
      </w:r>
    </w:p>
    <w:p>
      <w:pPr>
        <w:pStyle w:val="Heading1"/>
      </w:pPr>
      <w:r>
        <w:t>1. Vertragsparteien und Anlass</w:t>
      </w:r>
    </w:p>
    <w:p>
      <w:r>
        <w:t>Vereinbarung vom 1. Februar 2024 zwischen der Kurpfalz Taxware GmbH als Zedentin und der Rhenus Kreditbank AG als Zessionarin. Die Parteien beziehen sich auf das Darlehen RK-2023-4471 und stellen fest, dass dieser Vertrag die Forderungssicherheit gesondert vom IP-Sicherungsvertrag regelt.</w:t>
      </w:r>
    </w:p>
    <w:p>
      <w:pPr>
        <w:pStyle w:val="Heading1"/>
      </w:pPr>
      <w:r>
        <w:t>2. Sicherungszweck und gesicherte Forderungen der Bank</w:t>
      </w:r>
    </w:p>
    <w:p>
      <w:r>
        <w:t>Sicherungszweck der Abtretung ist die Sicherung aller gegenwärtigen, künftigen und bedingten Ansprüche der Bank aus der gesamten Geschäftsverbindung mit der Zedentin, insbesondere Kapital, Zinsen, Kosten und Rückabwicklungsansprüche aus dem Darlehen RK-2023-4471.</w:t>
      </w:r>
    </w:p>
    <w:p>
      <w:pPr>
        <w:pStyle w:val="Heading1"/>
      </w:pPr>
      <w:r>
        <w:t>3. Abgetretene Kundenforderungen</w:t>
      </w:r>
    </w:p>
    <w:p>
      <w:r>
        <w:t>Die Zedentin tritt der Bank sämtliche gegenwärtigen und künftigen Geldforderungen gegen in- und ausländische Kunden aus Softwarelizenzen, Softwareabonnements, Pflege, Support, Hosting, Updateleistungen und den in diesen Verträgen vereinbarten Nebenleistungen ab. Erfasst werden auch Forderungen aus Vertragsverlängerung, Preisanpassung und Beendigung, soweit sie an die Stelle einer erfassten Forderung treten.</w:t>
      </w:r>
    </w:p>
    <w:p>
      <w:r>
        <w:t>Nicht erfasst sind reine Hardwareverkäufe, Reisekostenerstattungen, Steuern, durchlaufende Posten und individuell beauftragte Beratungsprojekte, soweit diese nicht Bestandteil eines kombinierten Softwarevertrags sind. Gutschriften mindern die jeweilige Forderung.</w:t>
      </w:r>
    </w:p>
    <w:p>
      <w:pPr>
        <w:pStyle w:val="Heading1"/>
      </w:pPr>
      <w:r>
        <w:t>4. Entstehung und Bestimmbarkeit</w:t>
      </w:r>
    </w:p>
    <w:p>
      <w:r>
        <w:t>Die Abtretung soll mit Entstehung der jeweiligen Forderung wirksam werden. Die Zedentin führt ein Debitorenregister, aus dem Kunde, Vertrag, Rechnungsnummer, Leistungsart, Fälligkeit, Gutschriften und Zahlung hervorgehen. Die Bank erhält monatlich einen Export.</w:t>
      </w:r>
    </w:p>
    <w:p>
      <w:pPr>
        <w:pStyle w:val="Heading1"/>
      </w:pPr>
      <w:r>
        <w:t>5. Einziehungsbefugnis</w:t>
      </w:r>
    </w:p>
    <w:p>
      <w:r>
        <w:t>Die Bank ermächtigt die Zedentin widerruflich, die abgetretenen Forderungen im eigenen Namen einzuziehen und Zahlungen auf ihre im Register angegebenen Geschäftskonten entgegenzunehmen. Die Zedentin darf Zahlungsziele bis 30 Tage und marktübliche Gutschriften gewähren; weitergehende Stundungen und Erlasse über 10.000,00 EUR je Kunde bedürfen der Zustimmung der Bank.</w:t>
      </w:r>
    </w:p>
    <w:p>
      <w:pPr>
        <w:pStyle w:val="Heading1"/>
      </w:pPr>
      <w:r>
        <w:t>6. Offenlegung und Zahlungsumleitung</w:t>
      </w:r>
    </w:p>
    <w:p>
      <w:r>
        <w:t>Die Bank kann die Abtretung gegenüber einzelnen oder allen Drittschuldnern offenlegen und Zahlung an sich oder ein benanntes Konto verlangen, wenn ein Kündigungsereignis nach dem Darlehensvertrag vorliegt, Finanzberichte länger als 20 Tage ausstehen oder der Wert der offenen erfassten Forderungen 1.500.000,00 EUR unterschreitet. Die Zedentin unterzeichnet auf Anforderung vorbereitete Abtretungsanzeigen.</w:t>
      </w:r>
    </w:p>
    <w:p>
      <w:pPr>
        <w:pStyle w:val="Heading1"/>
      </w:pPr>
      <w:r>
        <w:t>7. Zusicherungen der Zedentin</w:t>
      </w:r>
    </w:p>
    <w:p>
      <w:r>
        <w:t>Die Zedentin erklärt, die Forderungen seien, soweit im Debitorenregister nicht anders markiert, weder abgetreten noch verpfändet und nach ihrer Kenntnis frei von vertraglichen Abtretungsverboten. Einwendungen, Aufrechnungen, Kündigungen und Streitigkeiten über mehr als 5.000,00 EUR werden im monatlichen Export kenntlich gemacht.</w:t>
      </w:r>
    </w:p>
    <w:p>
      <w:pPr>
        <w:pStyle w:val="Heading1"/>
      </w:pPr>
      <w:r>
        <w:t>8. Prüf- und Auskunftsrechte</w:t>
      </w:r>
    </w:p>
    <w:p>
      <w:r>
        <w:t>Die Bank darf nach angemessener Vorankündigung Verträge, Rechnungen, Zahlungsbelege und Debitorenkonten prüfen oder durch zur Vertraulichkeit verpflichtete Dritte prüfen lassen. Bei einem Kündigungsereignis kann die Prüfung ohne Vorankündigung während üblicher Geschäftszeiten erfolgen.</w:t>
      </w:r>
    </w:p>
    <w:p>
      <w:pPr>
        <w:pStyle w:val="Heading1"/>
      </w:pPr>
      <w:r>
        <w:t>9. Verwertung und Anrechnung</w:t>
      </w:r>
    </w:p>
    <w:p>
      <w:r>
        <w:t>Nach Widerruf der Einziehungsbefugnis zieht die Bank offengelegte Forderungen nach Maßgabe der anwendbaren Vorschriften ein. Zahlungseingänge werden nach Abzug notwendiger Einziehungskosten auf die gesicherten Forderungen angerechnet. Die Bank informiert die Zedentin über wesentliche Einziehungsmaßnahmen.</w:t>
      </w:r>
    </w:p>
    <w:p>
      <w:pPr>
        <w:pStyle w:val="Heading1"/>
      </w:pPr>
      <w:r>
        <w:t>10. Freigabe und Vertragsende</w:t>
      </w:r>
    </w:p>
    <w:p>
      <w:r>
        <w:t>Übersteigt der realisierbare Gesamtwert der Sicherheiten die gesicherten Forderungen auf Dauer um mehr als 20 Prozent, gibt die Bank auf Verlangen Sicherheiten nach ihrer Wahl frei. Nach vollständiger und endgültiger Erfüllung der gesicherten Ansprüche tritt die Bank noch bestehende Forderungen zurück.</w:t>
      </w:r>
    </w:p>
    <w:p>
      <w:pPr>
        <w:pStyle w:val="Heading1"/>
      </w:pPr>
      <w:r>
        <w:t>11. Mitteilungen und Schlussbestimmungen</w:t>
      </w:r>
    </w:p>
    <w:p>
      <w:r>
        <w:t>Insolvenzanträge, Pfändungen in Debitorenforderungen und wesentliche Änderungen des Abrechnungssystems sind unverzüglich mitzuteilen. Es gilt deutsches Recht; Gerichtsstand ist, soweit zulässig, Mannheim. Änderungen und Freigaben sollen in Textform festgehalten werden.</w:t>
      </w:r>
    </w:p>
    <w:p>
      <w:pPr>
        <w:pStyle w:val="Heading1"/>
      </w:pPr>
      <w:r>
        <w:t>12. Unterschriften</w:t>
      </w:r>
    </w:p>
    <w:p>
      <w:r>
        <w:t>Mannheim, 01.02.2024 — Rhenus Kreditbank AG, Silke Brandt und Jan Küster, handschriftlich unterzeichnet.</w:t>
      </w:r>
    </w:p>
    <w:p>
      <w:r>
        <w:t>Heidelberg, 01.02.2024 — Kurpfalz Taxware GmbH, Martin Reuter, handschriftlich unterzeichnet. Anlage F-1 mit Debitorenliste Stand Januar 2024 ist paraphiert.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Sicherungsabtretung der Lizenz-, Pflege- und Supportforderungen</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