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Vorläufiger Inventur- und Fortführungsbericht der Insolvenzverwalterin</w:t>
      </w:r>
    </w:p>
    <w:tbl>
      <w:tblPr>
        <w:tblStyle w:val="TableGrid"/>
        <w:tblW w:type="auto" w:w="0"/>
        <w:tblLayout w:type="autofit"/>
        <w:tblLook w:firstColumn="1" w:firstRow="1" w:lastColumn="0" w:lastRow="0" w:noHBand="0" w:noVBand="1" w:val="04A0"/>
      </w:tblPr>
      <w:tblGrid>
        <w:gridCol w:w="2422"/>
        <w:gridCol w:w="2422"/>
        <w:gridCol w:w="2422"/>
        <w:gridCol w:w="2422"/>
      </w:tblGrid>
      <w:tr>
        <w:trPr>
          <w:tblHeader w:val="true"/>
        </w:trPr>
        <w:tc>
          <w:tcPr>
            <w:tcW w:type="dxa" w:w="2422"/>
            <w:shd w:fill="DCE6ED"/>
            <w:vAlign w:val="center"/>
          </w:tcPr>
          <w:p>
            <w:r>
              <w:rPr>
                <w:rFonts w:ascii="Times New Roman" w:hAnsi="Times New Roman"/>
                <w:b/>
                <w:sz w:val="18"/>
              </w:rPr>
              <w:t>Position</w:t>
            </w:r>
          </w:p>
        </w:tc>
        <w:tc>
          <w:tcPr>
            <w:tcW w:type="dxa" w:w="2422"/>
            <w:shd w:fill="DCE6ED"/>
            <w:vAlign w:val="center"/>
          </w:tcPr>
          <w:p>
            <w:r>
              <w:rPr>
                <w:rFonts w:ascii="Times New Roman" w:hAnsi="Times New Roman"/>
                <w:b/>
                <w:sz w:val="18"/>
              </w:rPr>
              <w:t>Buchwert EUR</w:t>
            </w:r>
          </w:p>
        </w:tc>
        <w:tc>
          <w:tcPr>
            <w:tcW w:type="dxa" w:w="2422"/>
            <w:shd w:fill="DCE6ED"/>
            <w:vAlign w:val="center"/>
          </w:tcPr>
          <w:p>
            <w:r>
              <w:rPr>
                <w:rFonts w:ascii="Times New Roman" w:hAnsi="Times New Roman"/>
                <w:b/>
                <w:sz w:val="18"/>
              </w:rPr>
              <w:t>Vorläufiger Wert/Spanne EUR</w:t>
            </w:r>
          </w:p>
        </w:tc>
        <w:tc>
          <w:tcPr>
            <w:tcW w:type="dxa" w:w="2422"/>
            <w:shd w:fill="DCE6ED"/>
            <w:vAlign w:val="center"/>
          </w:tcPr>
          <w:p>
            <w:r>
              <w:rPr>
                <w:rFonts w:ascii="Times New Roman" w:hAnsi="Times New Roman"/>
                <w:b/>
                <w:sz w:val="18"/>
              </w:rPr>
              <w:t>Bemerkung</w:t>
            </w:r>
          </w:p>
        </w:tc>
      </w:tr>
      <w:tr>
        <w:tc>
          <w:tcPr>
            <w:tcW w:type="dxa" w:w="2422"/>
            <w:vAlign w:val="top"/>
          </w:tcPr>
          <w:p>
            <w:r>
              <w:rPr>
                <w:rFonts w:ascii="Times New Roman" w:hAnsi="Times New Roman"/>
                <w:sz w:val="18"/>
              </w:rPr>
              <w:t>Liquide Mittel</w:t>
            </w:r>
          </w:p>
        </w:tc>
        <w:tc>
          <w:tcPr>
            <w:tcW w:type="dxa" w:w="2422"/>
            <w:vAlign w:val="top"/>
          </w:tcPr>
          <w:p>
            <w:r>
              <w:rPr>
                <w:rFonts w:ascii="Times New Roman" w:hAnsi="Times New Roman"/>
                <w:sz w:val="18"/>
              </w:rPr>
              <w:t>132840.77</w:t>
            </w:r>
          </w:p>
        </w:tc>
        <w:tc>
          <w:tcPr>
            <w:tcW w:type="dxa" w:w="2422"/>
            <w:vAlign w:val="top"/>
          </w:tcPr>
          <w:p>
            <w:r>
              <w:rPr>
                <w:rFonts w:ascii="Times New Roman" w:hAnsi="Times New Roman"/>
                <w:sz w:val="18"/>
              </w:rPr>
              <w:t>132840.77</w:t>
            </w:r>
          </w:p>
        </w:tc>
        <w:tc>
          <w:tcPr>
            <w:tcW w:type="dxa" w:w="2422"/>
            <w:vAlign w:val="top"/>
          </w:tcPr>
          <w:p>
            <w:r>
              <w:rPr>
                <w:rFonts w:ascii="Times New Roman" w:hAnsi="Times New Roman"/>
                <w:sz w:val="18"/>
              </w:rPr>
              <w:t>vor Abgrenzung Sicherheiten</w:t>
            </w:r>
          </w:p>
        </w:tc>
      </w:tr>
      <w:tr>
        <w:tc>
          <w:tcPr>
            <w:tcW w:type="dxa" w:w="2422"/>
            <w:vAlign w:val="top"/>
          </w:tcPr>
          <w:p>
            <w:r>
              <w:rPr>
                <w:rFonts w:ascii="Times New Roman" w:hAnsi="Times New Roman"/>
                <w:sz w:val="18"/>
              </w:rPr>
              <w:t>Offene Kundenforderungen</w:t>
            </w:r>
          </w:p>
        </w:tc>
        <w:tc>
          <w:tcPr>
            <w:tcW w:type="dxa" w:w="2422"/>
            <w:vAlign w:val="top"/>
          </w:tcPr>
          <w:p>
            <w:r>
              <w:rPr>
                <w:rFonts w:ascii="Times New Roman" w:hAnsi="Times New Roman"/>
                <w:sz w:val="18"/>
              </w:rPr>
              <w:t>616450</w:t>
            </w:r>
          </w:p>
        </w:tc>
        <w:tc>
          <w:tcPr>
            <w:tcW w:type="dxa" w:w="2422"/>
            <w:vAlign w:val="top"/>
          </w:tcPr>
          <w:p>
            <w:r>
              <w:rPr>
                <w:rFonts w:ascii="Times New Roman" w:hAnsi="Times New Roman"/>
                <w:sz w:val="18"/>
              </w:rPr>
              <w:t>410.000–505.000</w:t>
            </w:r>
          </w:p>
        </w:tc>
        <w:tc>
          <w:tcPr>
            <w:tcW w:type="dxa" w:w="2422"/>
            <w:vAlign w:val="top"/>
          </w:tcPr>
          <w:p>
            <w:r>
              <w:rPr>
                <w:rFonts w:ascii="Times New Roman" w:hAnsi="Times New Roman"/>
                <w:sz w:val="18"/>
              </w:rPr>
              <w:t>Einwendungen und Abtretungshinweise</w:t>
            </w:r>
          </w:p>
        </w:tc>
      </w:tr>
      <w:tr>
        <w:tc>
          <w:tcPr>
            <w:tcW w:type="dxa" w:w="2422"/>
            <w:vAlign w:val="top"/>
          </w:tcPr>
          <w:p>
            <w:r>
              <w:rPr>
                <w:rFonts w:ascii="Times New Roman" w:hAnsi="Times New Roman"/>
                <w:sz w:val="18"/>
              </w:rPr>
              <w:t>Hardware und Büro</w:t>
            </w:r>
          </w:p>
        </w:tc>
        <w:tc>
          <w:tcPr>
            <w:tcW w:type="dxa" w:w="2422"/>
            <w:vAlign w:val="top"/>
          </w:tcPr>
          <w:p>
            <w:r>
              <w:rPr>
                <w:rFonts w:ascii="Times New Roman" w:hAnsi="Times New Roman"/>
                <w:sz w:val="18"/>
              </w:rPr>
              <w:t>274000</w:t>
            </w:r>
          </w:p>
        </w:tc>
        <w:tc>
          <w:tcPr>
            <w:tcW w:type="dxa" w:w="2422"/>
            <w:vAlign w:val="top"/>
          </w:tcPr>
          <w:p>
            <w:r>
              <w:rPr>
                <w:rFonts w:ascii="Times New Roman" w:hAnsi="Times New Roman"/>
                <w:sz w:val="18"/>
              </w:rPr>
              <w:t>84000</w:t>
            </w:r>
          </w:p>
        </w:tc>
        <w:tc>
          <w:tcPr>
            <w:tcW w:type="dxa" w:w="2422"/>
            <w:vAlign w:val="top"/>
          </w:tcPr>
          <w:p>
            <w:r>
              <w:rPr>
                <w:rFonts w:ascii="Times New Roman" w:hAnsi="Times New Roman"/>
                <w:sz w:val="18"/>
              </w:rPr>
              <w:t>teilweise Leasing</w:t>
            </w:r>
          </w:p>
        </w:tc>
      </w:tr>
      <w:tr>
        <w:tc>
          <w:tcPr>
            <w:tcW w:type="dxa" w:w="2422"/>
            <w:vAlign w:val="top"/>
          </w:tcPr>
          <w:p>
            <w:r>
              <w:rPr>
                <w:rFonts w:ascii="Times New Roman" w:hAnsi="Times New Roman"/>
                <w:sz w:val="18"/>
              </w:rPr>
              <w:t>Software, Verträge, Marke, Goodwill</w:t>
            </w:r>
          </w:p>
        </w:tc>
        <w:tc>
          <w:tcPr>
            <w:tcW w:type="dxa" w:w="2422"/>
            <w:vAlign w:val="top"/>
          </w:tcPr>
          <w:p>
            <w:r>
              <w:rPr>
                <w:rFonts w:ascii="Times New Roman" w:hAnsi="Times New Roman"/>
                <w:sz w:val="18"/>
              </w:rPr>
              <w:t>1860000</w:t>
            </w:r>
          </w:p>
        </w:tc>
        <w:tc>
          <w:tcPr>
            <w:tcW w:type="dxa" w:w="2422"/>
            <w:vAlign w:val="top"/>
          </w:tcPr>
          <w:p>
            <w:r>
              <w:rPr>
                <w:rFonts w:ascii="Times New Roman" w:hAnsi="Times New Roman"/>
                <w:sz w:val="18"/>
              </w:rPr>
              <w:t>1.600.000–2.400.000</w:t>
            </w:r>
          </w:p>
        </w:tc>
        <w:tc>
          <w:tcPr>
            <w:tcW w:type="dxa" w:w="2422"/>
            <w:vAlign w:val="top"/>
          </w:tcPr>
          <w:p>
            <w:r>
              <w:rPr>
                <w:rFonts w:ascii="Times New Roman" w:hAnsi="Times New Roman"/>
                <w:sz w:val="18"/>
              </w:rPr>
              <w:t>gesonderte Bewertung</w:t>
            </w:r>
          </w:p>
        </w:tc>
      </w:tr>
      <w:tr>
        <w:tc>
          <w:tcPr>
            <w:tcW w:type="dxa" w:w="2422"/>
            <w:vAlign w:val="top"/>
          </w:tcPr>
          <w:p>
            <w:r>
              <w:rPr>
                <w:rFonts w:ascii="Times New Roman" w:hAnsi="Times New Roman"/>
                <w:sz w:val="18"/>
              </w:rPr>
              <w:t>Sonstige Ansprüche</w:t>
            </w:r>
          </w:p>
        </w:tc>
        <w:tc>
          <w:tcPr>
            <w:tcW w:type="dxa" w:w="2422"/>
            <w:vAlign w:val="top"/>
          </w:tcPr>
          <w:p>
            <w:r>
              <w:rPr>
                <w:rFonts w:ascii="Times New Roman" w:hAnsi="Times New Roman"/>
                <w:sz w:val="18"/>
              </w:rPr>
              <w:t>92000</w:t>
            </w:r>
          </w:p>
        </w:tc>
        <w:tc>
          <w:tcPr>
            <w:tcW w:type="dxa" w:w="2422"/>
            <w:vAlign w:val="top"/>
          </w:tcPr>
          <w:p>
            <w:r>
              <w:rPr>
                <w:rFonts w:ascii="Times New Roman" w:hAnsi="Times New Roman"/>
                <w:sz w:val="18"/>
              </w:rPr>
              <w:t>25.000–60.000</w:t>
            </w:r>
          </w:p>
        </w:tc>
        <w:tc>
          <w:tcPr>
            <w:tcW w:type="dxa" w:w="2422"/>
            <w:vAlign w:val="top"/>
          </w:tcPr>
          <w:p>
            <w:r>
              <w:rPr>
                <w:rFonts w:ascii="Times New Roman" w:hAnsi="Times New Roman"/>
                <w:sz w:val="18"/>
              </w:rPr>
              <w:t>Kautionen und Erstattungen</w:t>
            </w:r>
          </w:p>
        </w:tc>
      </w:tr>
    </w:tbl>
    <w:p/>
    <w:p>
      <w:pPr>
        <w:pStyle w:val="Heading1"/>
      </w:pPr>
      <w:r>
        <w:t>1. Auftrag und Stichtag</w:t>
      </w:r>
    </w:p>
    <w:p>
      <w:r>
        <w:t>Bericht der Insolvenzverwalterin Dr. Friederike Mohn vom 28. September 2026, Stichtag 15. September 2026. Der Bericht dient der ersten Bestandsaufnahme für Gläubigerausschuss und Datenraum; Bewertungen und Rechtezuordnungen bleiben gesonderten Prüfungen vorbehalten.</w:t>
      </w:r>
    </w:p>
    <w:p>
      <w:pPr>
        <w:pStyle w:val="Heading1"/>
      </w:pPr>
      <w:r>
        <w:t>2. Geschäftsbetrieb</w:t>
      </w:r>
    </w:p>
    <w:p>
      <w:r>
        <w:t>Der Cloudbetrieb und der Support werden mit 19 weiterbeschäftigten Personen fortgeführt. Vier Arbeitsverhältnisse ruhen oder sind beendet. Die Lohnzahlungen für August waren offen; Insolvenzgeldvorfinanzierung wurde mit der Agentur und einer Sparkasse abgestimmt.</w:t>
      </w:r>
    </w:p>
    <w:p>
      <w:r>
        <w:t>Die Kundenplattform war seit Anordnung der vorläufigen Verwaltung ohne wesentliche Unterbrechung verfügbar. Releases sind bis auf kritische Fehlerbehebungen eingefroren. Das Entwicklungsteam pflegt eine Übergabeliste für Quellcode, Schlüssel und Rechenzentrumszugänge.</w:t>
      </w:r>
    </w:p>
    <w:p>
      <w:pPr>
        <w:pStyle w:val="Heading1"/>
      </w:pPr>
      <w:r>
        <w:t>3. Liquide Mittel und körperliche Gegenstände</w:t>
      </w:r>
    </w:p>
    <w:p>
      <w:r>
        <w:rPr>
          <w:b/>
        </w:rPr>
        <w:t>Bankguthaben zum Eröffnungsstichtag beliefen sich nach vorläufiger Abstimmung auf 132.840,77 EUR. Der Bestand umfasst 31 Notebooks, 12 Monitore, drei Testserver, Büromöbel und zwei geleaste Fahrzeuge. Verkehrswert der freien körperlichen Gegenstände nach erster Schätzung:</w:t>
      </w:r>
      <w:r>
        <w:t xml:space="preserve"> 84.000 EUR.</w:t>
      </w:r>
    </w:p>
    <w:p>
      <w:pPr>
        <w:pStyle w:val="Heading1"/>
      </w:pPr>
      <w:r>
        <w:t>4. Software und gewerbliche Positionen</w:t>
      </w:r>
    </w:p>
    <w:p>
      <w:r>
        <w:t>Als zentrale immaterielle Positionen wurden Quellcode und Dokumentationen der Produktfamilie FiscusPilot, die Wortmarke FiscusPilot, Domains, Kundenbeziehungen, Konfigurationen, Release-Artefakte und betriebliche Geheimnisse erfasst. Die Repository-Liste nennt acht Projekte und mehrere externe Dienste.</w:t>
      </w:r>
    </w:p>
    <w:p>
      <w:r>
        <w:t>Im Datenraum liegen fünf Arbeitsverträge und ein Freelancervertrag. Bei den Vorbestandsanlagen FormKit, LedgerLens und ReceiptCam bestehen Dokumentationslücken. Ein Open-Source-Scan wurde beauftragt und am 7. Oktober als Tabellenexport bereitgestellt.</w:t>
      </w:r>
    </w:p>
    <w:p>
      <w:pPr>
        <w:pStyle w:val="Heading1"/>
      </w:pPr>
      <w:r>
        <w:t>5. Sicherheitenhinweise</w:t>
      </w:r>
    </w:p>
    <w:p>
      <w:r>
        <w:t>Die Rhenus Kreditbank AG hat am 18. August 2026 eine Kopie des Sicherungsvertrags über Software-Nutzungsrechte aus 2023 und der Sicherungsabtretung von Lizenzforderungen aus 2024 vorgelegt. Der Sicherungsvertrag ist im Vertragsregister der Schuldnerin vermerkt; eine getrennte Sicherheitenabrechnung liegt noch nicht vor.</w:t>
      </w:r>
    </w:p>
    <w:p>
      <w:r>
        <w:t>Mehrere Kundenrechnungen enthalten einen Abtretungshinweis, andere nicht. Zahlungseingänge liefen nach Eröffnung zunächst auf die bisherigen Geschäftskonten und wurden von dort auf das Massekonto übertragen.</w:t>
      </w:r>
    </w:p>
    <w:p>
      <w:pPr>
        <w:pStyle w:val="Heading1"/>
      </w:pPr>
      <w:r>
        <w:t>6. Kundenverträge</w:t>
      </w:r>
    </w:p>
    <w:p>
      <w:r>
        <w:t>Das CRM weist 229 aktive Kundenbeziehungen aus. Für 187 Kunden liegen unterzeichnete Hauptverträge im zentralen Ordner; bei 42 Kunden bestehen Bestellformulare, ältere Vertragsfassungen oder unvollständige Anlagen. Die zehn größten Vertragsbeziehungen werden gesondert geprüft.</w:t>
      </w:r>
    </w:p>
    <w:p>
      <w:pPr>
        <w:pStyle w:val="Heading1"/>
      </w:pPr>
      <w:r>
        <w:t>7. Fortführungsaufwand</w:t>
      </w:r>
    </w:p>
    <w:p>
      <w:r>
        <w:t>Für Oktober werden Personal-, Hosting-, Miet- und Dienstleisterkosten von rund 318.000 EUR erwartet. Die laufenden Kundeneingänge decken diesen Betrag nach der rollierenden Planung knapp. Nicht enthalten sind Rechts- und Transaktionskosten sowie mögliche Einmalzahlungen für Schlüssel- oder Vertragsüberleitungen.</w:t>
      </w:r>
    </w:p>
    <w:p>
      <w:pPr>
        <w:pStyle w:val="Heading1"/>
      </w:pPr>
      <w:r>
        <w:t>8. M&amp;A-Prozess</w:t>
      </w:r>
    </w:p>
    <w:p>
      <w:r>
        <w:t>Nach Ansprache von zwölf strategischen Interessenten erhielten fünf Unternehmen Zugang zum Datenraum. Drei indikative Angebote gingen bis 25. September ein. Weinberg Digital Solutions GmbH legte das höchste verbindliche Barangebot vor und bot die Übernahme von mindestens 17 Beschäftigten an.</w:t>
      </w:r>
    </w:p>
    <w:p>
      <w:pPr>
        <w:pStyle w:val="Heading1"/>
      </w:pPr>
      <w:r>
        <w:t>9. Offene Bestandsfragen</w:t>
      </w:r>
    </w:p>
    <w:p>
      <w:r>
        <w:t>Noch offen sind die vollständige Zuordnung historischer Quellcodebestandteile, die Reichweite einzelner Kundenübertragungsklauseln, der aktuelle Escrow-Stand, die Behandlung abgetretener Forderungen und die Übergabe des HSM. Diese Punkte wurden in die Transaktions- und Prüfungslisten aufgenommen.</w:t>
      </w:r>
    </w:p>
    <w:sectPr w:rsidR="00FC693F" w:rsidRPr="0006063C" w:rsidSect="00034616">
      <w:headerReference w:type="default" r:id="rId9"/>
      <w:footerReference w:type="default" r:id="rId10"/>
      <w:pgSz w:w="12240" w:h="15840"/>
      <w:pgMar w:top="1276" w:right="1219" w:bottom="1134" w:left="133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6"/>
      </w:rPr>
      <w:t xml:space="preserve">Seite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color w:val="5A6064"/>
        <w:sz w:val="16"/>
      </w:rPr>
      <w:t>FiscusPilot – Software-IP in der Insolvenz</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60" w:after="100"/>
      <w:outlineLvl w:val="0"/>
    </w:pPr>
    <w:rPr>
      <w:rFonts w:asciiTheme="majorHAnsi" w:eastAsiaTheme="majorEastAsia" w:hAnsiTheme="majorHAnsi" w:cstheme="majorBidi" w:ascii="Times New Roman" w:hAnsi="Times New Roman" w:eastAsia="Times New Roman"/>
      <w:b/>
      <w:bCs/>
      <w:color w:val="183A55"/>
      <w:sz w:val="28"/>
      <w:szCs w:val="28"/>
    </w:rPr>
  </w:style>
  <w:style w:type="paragraph" w:styleId="Heading2">
    <w:name w:val="heading 2"/>
    <w:basedOn w:val="Normal"/>
    <w:next w:val="Normal"/>
    <w:link w:val="Heading2Char"/>
    <w:uiPriority w:val="9"/>
    <w:unhideWhenUsed/>
    <w:qFormat/>
    <w:rsid w:val="00FC693F"/>
    <w:pPr>
      <w:keepNext/>
      <w:keepLines/>
      <w:spacing w:before="160" w:after="100"/>
      <w:outlineLvl w:val="1"/>
    </w:pPr>
    <w:rPr>
      <w:rFonts w:asciiTheme="majorHAnsi" w:eastAsiaTheme="majorEastAsia" w:hAnsiTheme="majorHAnsi" w:cstheme="majorBidi" w:ascii="Times New Roman" w:hAnsi="Times New Roman" w:eastAsia="Times New Roman"/>
      <w:b/>
      <w:bCs/>
      <w:color w:val="3C5365"/>
      <w:sz w:val="24"/>
      <w:szCs w:val="26"/>
    </w:rPr>
  </w:style>
  <w:style w:type="paragraph" w:styleId="Heading3">
    <w:name w:val="heading 3"/>
    <w:basedOn w:val="Normal"/>
    <w:next w:val="Normal"/>
    <w:link w:val="Heading3Char"/>
    <w:uiPriority w:val="9"/>
    <w:unhideWhenUsed/>
    <w:qFormat/>
    <w:rsid w:val="00FC693F"/>
    <w:pPr>
      <w:keepNext/>
      <w:keepLines/>
      <w:spacing w:before="160" w:after="100"/>
      <w:outlineLvl w:val="2"/>
    </w:pPr>
    <w:rPr>
      <w:rFonts w:asciiTheme="majorHAnsi" w:eastAsiaTheme="majorEastAsia" w:hAnsiTheme="majorHAnsi" w:cstheme="majorBidi" w:ascii="Times New Roman" w:hAnsi="Times New Roman" w:eastAsia="Times New Roman"/>
      <w:b/>
      <w:bCs/>
      <w:color w:val="3C5365"/>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160"/>
      <w:contextualSpacing/>
    </w:pPr>
    <w:rPr>
      <w:rFonts w:asciiTheme="majorHAnsi" w:eastAsiaTheme="majorEastAsia" w:hAnsiTheme="majorHAnsi" w:cstheme="majorBidi" w:ascii="Times New Roman" w:hAnsi="Times New Roman" w:eastAsia="Times New Roman"/>
      <w:b/>
      <w:color w:val="183A55"/>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Vorläufiger Inventur- und Fortführungsbericht der Insolvenzverwalterin</dc:title>
  <dc:subject>FiscusPilot – Software-IP in der Insolvenz</dc:subject>
  <dc:creator>Fiktive Aktenstelle</dc:creator>
  <cp:keywords>Urheberrecht, Immaterialgüterrecht, Insolvenzrecht</cp:keywords>
  <dc:description>generated by python-docx</dc:description>
  <cp:lastModifiedBy/>
  <cp:revision>1</cp:revision>
  <dcterms:created xsi:type="dcterms:W3CDTF">2026-10-23T09:00:00Z</dcterms:created>
  <dcterms:modified xsi:type="dcterms:W3CDTF">2026-10-23T09:00:00Z</dcterms:modified>
  <cp:category/>
</cp:coreProperties>
</file>