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Zahlungsaufforderung und Anzeige der Verwertungsreife</w:t>
      </w:r>
    </w:p>
    <w:p>
      <w:r>
        <w:t>Die Rebenpfad Sicherheiten GmbH teilt der Kurpfalz Tonwerke GmbH mit</w:t>
        <w:br/>
        <w:t>Schreiben vom 15. Februar 2026 mit, dass das Darlehen am 31. Dezember 2025</w:t>
        <w:br/>
        <w:t>endfällig geworden sei. Ausgewiesen werden 200.000 Euro Kapital, 12.810</w:t>
        <w:br/>
        <w:t>Euro Zinsen bis zum 31. Dezember 2025 und 450 Euro Kosten. Die Zahlung soll</w:t>
        <w:br/>
        <w:t>bis zum Ablauf des 3. März 2026 auf das Konto der Rebenpfad Sicherheiten GmbH</w:t>
        <w:br/>
        <w:t>erfolgen. Die Frist entspricht zehn Bankarbeitstagen nach dem im</w:t>
        <w:br/>
        <w:t>Versandprotokoll ausgewiesenen Zugang am 17. Februar 2026.</w:t>
      </w:r>
    </w:p>
    <w:p>
      <w:r>
        <w:t>Das Schreiben verweist auf die Sicherungsübertragung der Marken. Es</w:t>
        <w:br/>
        <w:t>kündigt an, nach fruchtlosem Ablauf der Frist eine konkrete</w:t>
        <w:br/>
        <w:t>Verwertungsankündigung zu übersenden. Zugleich bietet Rebenpfad ein Gespräch</w:t>
        <w:br/>
        <w:t>über eine abgestimmte Kontenklärung und einen geordneten Verkauf einzelner</w:t>
        <w:br/>
        <w:t>Produktlinien an. Die Zahlungsaufforderung selbst widerruft die Rücklizenz</w:t>
        <w:br/>
        <w:t>noch nicht und legt noch keine Verwertungsart fest.</w:t>
      </w:r>
    </w:p>
    <w:p>
      <w:r>
        <w:t>Im letzten Absatz heißt es, die Annahme von Teilzahlungen stelle weder eine</w:t>
        <w:br/>
        <w:t>Stundung noch eine Freigabe von Sicherheiten dar. Der Versandindex nennt</w:t>
        <w:br/>
        <w:t>Pauline Roth und Tarek Mansour als elektronisch freigebende Personen. Das</w:t>
        <w:br/>
        <w:t>vorliegende DOCX ist die Inhaltsabschrift ohne Unterschriftsbilder. Versand</w:t>
        <w:br/>
        <w:t>und Zugang werden gemeinsam mit dem späteren Sicherungsfallschreiben im</w:t>
        <w:br/>
        <w:t>Zustellstatus 16C dokumentiert.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76" w:right="1219" w:bottom="113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 xml:space="preserve">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5A6064"/>
        <w:sz w:val="16"/>
      </w:rPr>
      <w:t>Rheinpuls Audio – Marken im Asset Deal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83A5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C536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C536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83A5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Zahlungsaufforderung und Anzeige der Verwertungsreife</dc:title>
  <dc:subject>Rheinpuls Audio – Marken im Asset Deal</dc:subject>
  <dc:creator>Fiktive Aktenstelle</dc:creator>
  <cp:keywords>Urheberrecht, Immaterialgüterrecht, Insolvenzrecht</cp:keywords>
  <dc:description>generated by python-docx</dc:description>
  <cp:lastModifiedBy/>
  <cp:revision>1</cp:revision>
  <dcterms:created xsi:type="dcterms:W3CDTF">2026-10-23T09:00:00Z</dcterms:created>
  <dcterms:modified xsi:type="dcterms:W3CDTF">2026-10-23T09:00:00Z</dcterms:modified>
  <cp:category/>
</cp:coreProperties>
</file>