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80"/>
      </w:pPr>
      <w:r>
        <w:rPr>
          <w:rFonts w:ascii="Times New Roman" w:hAnsi="Times New Roman"/>
          <w:color w:val="000000"/>
        </w:rPr>
        <w:t>Betriebskaufvertrag Rheinsteg</w:t>
      </w:r>
    </w:p>
    <w:p>
      <w:pPr>
        <w:widowControl/>
        <w:spacing w:after="80"/>
        <w:jc w:val="left"/>
      </w:pPr>
      <w:r>
        <w:rPr>
          <w:color w:val="000000"/>
        </w:rPr>
        <w:t>Tervens &amp; Sander Rechtsanwälte PartG mbB | Rheinbogenplatz 6, 50679 Köln</w:t>
      </w:r>
    </w:p>
    <w:p>
      <w:pPr>
        <w:widowControl/>
        <w:spacing w:after="80"/>
        <w:jc w:val="left"/>
      </w:pPr>
      <w:r>
        <w:rPr>
          <w:color w:val="000000"/>
        </w:rPr>
        <w:t>Verfahren 72 IN 184/26 | Dr. Malin Tervens | 10.09.2026</w:t>
      </w:r>
    </w:p>
    <w:p>
      <w:pPr>
        <w:widowControl/>
        <w:spacing w:after="80"/>
        <w:jc w:val="left"/>
      </w:pPr>
      <w:r>
        <w:rPr>
          <w:color w:val="000000"/>
        </w:rPr>
        <w:t>Verhandlungsfassung zur Besprechung mit Werkbogen Montage GmbH. Keine Unterschrift und keine bindende Annahme des Kaufangebots. Die Kaufgegenstandslisten sind noch abzustimmen.</w:t>
      </w:r>
    </w:p>
    <w:p>
      <w:pPr>
        <w:pStyle w:val="Heading2"/>
        <w:widowControl/>
        <w:spacing w:after="80"/>
      </w:pPr>
      <w:r>
        <w:rPr>
          <w:rFonts w:ascii="Times New Roman" w:hAnsi="Times New Roman"/>
          <w:color w:val="000000"/>
        </w:rPr>
        <w:t>1. Parteien und Fortführung</w:t>
      </w:r>
    </w:p>
    <w:p>
      <w:pPr>
        <w:widowControl/>
        <w:jc w:val="left"/>
      </w:pPr>
      <w:r>
        <w:rPr>
          <w:color w:val="000000"/>
        </w:rPr>
        <w:t>Dr. Malin Tervens handelt ausschließlich in ihrer Eigenschaft als Insolvenzverwalterin über das Vermögen der Rheinsteg Ausbau und Metalltechnik GmbH, Montagehof 18, 51149 Köln, bestellt durch Beschluss des Amtsgerichts Köln vom 01.07.2026, 72 IN 184/26. Sie wird nachfolgend Verkäuferin genannt. Käuferin ist die Werkbogen Montage GmbH, Hallenbogen 11, 51373 Leverkusen, vertreten durch Geschäftsführer Leander Voss. Den aktuellen Register- und Vertretungsnachweis legt die Käuferin vor Unterzeichnung vor.</w:t>
      </w:r>
    </w:p>
    <w:p>
      <w:pPr>
        <w:widowControl/>
        <w:jc w:val="left"/>
      </w:pPr>
      <w:r>
        <w:rPr>
          <w:color w:val="000000"/>
        </w:rPr>
        <w:t>Die Käuferin beabsichtigt, den Metalltechnik- und Ausbaubetrieb am bisherigen Standort fortzuführen. Gegenstand ist der Erwerb bestimmter Vermögensgegenstände und Rechte, nicht der Erwerb von Geschäftsanteilen. Die Fortführung setzt die nachstehend geregelten Zustimmungen und eine geklärte Übertragung der betroffenen Rechte voraus.</w:t>
      </w:r>
    </w:p>
    <w:p>
      <w:pPr>
        <w:pStyle w:val="Heading2"/>
        <w:widowControl/>
      </w:pPr>
      <w:r>
        <w:rPr>
          <w:rFonts w:ascii="Times New Roman" w:hAnsi="Times New Roman"/>
          <w:color w:val="000000"/>
        </w:rPr>
        <w:t>2. Bewegliche Sachen und Lager</w:t>
      </w:r>
    </w:p>
    <w:p>
      <w:pPr>
        <w:widowControl/>
        <w:jc w:val="left"/>
      </w:pPr>
      <w:r>
        <w:rPr>
          <w:color w:val="000000"/>
        </w:rPr>
        <w:t>Verkauft werden die in Anlage 1 mit Bestandsnummer, Seriennummer, Standort und Zubehör abschließend bestimmten Maschinen, Fahrzeuge und Bürogeräte. Die Parteien tragen vor Unterzeichnung die ausgewählten Positionen aus dem Bestandsverzeichnis vom 09.09.2026 ein. Weder ein Eintrag im Anlagenkonto noch eine Besichtigung allein erweitert den Kaufgegenstand.</w:t>
      </w:r>
    </w:p>
    <w:p>
      <w:pPr>
        <w:widowControl/>
        <w:jc w:val="left"/>
      </w:pPr>
      <w:r>
        <w:rPr>
          <w:color w:val="000000"/>
        </w:rPr>
        <w:t>Anlage 2 bestimmt die übertragenen Waren und unfertigen Erzeugnisse nach Menge, Charge oder Projektzuordnung. Eigentum des Auftraggebers, beigestelltes Material und bereits abgerechnete, einem Dritten gehörende Gegenstände werden getrennt erfasst und nicht als freie Ware verkauft. Eine gemeinsame Zählung unmittelbar vor Übergabe ersetzt die vorläufigen Mengen. Die Parteien vereinbaren dabei für jede Position den Nettoeinzelpreis; aus Menge und Einzelpreis ergibt sich der Warenpreis.</w:t>
      </w:r>
    </w:p>
    <w:p>
      <w:pPr>
        <w:widowControl/>
        <w:jc w:val="left"/>
      </w:pPr>
      <w:r>
        <w:rPr>
          <w:color w:val="000000"/>
        </w:rPr>
        <w:t>Die Hebebühne HS-42, Seriennummer HS42-260615-07, wird nur dann in Anlage 1 aufgenommen, wenn eine wirksame und dokumentierte Vereinbarung mit dem Berechtigten ihre Übertragung ermöglicht. Eine Forderungsanmeldung der Hubwerk Sennfeld GmbH und die Benutzung der Bühne ersetzen keine Eigentumsfreigabe. Die Verkäuferin gibt mit diesem Entwurf keine Erklärung über die Erfüllungswahl zum Kaufvertrag vom 20.05.2026 ab.</w:t>
      </w:r>
    </w:p>
    <w:p>
      <w:pPr>
        <w:pStyle w:val="Heading2"/>
        <w:widowControl/>
      </w:pPr>
      <w:r>
        <w:rPr>
          <w:rFonts w:ascii="Times New Roman" w:hAnsi="Times New Roman"/>
          <w:color w:val="000000"/>
        </w:rPr>
        <w:t>3. Forderungen und ausgenommene Gegenstände</w:t>
      </w:r>
    </w:p>
    <w:p>
      <w:pPr>
        <w:widowControl/>
        <w:jc w:val="left"/>
      </w:pPr>
      <w:r>
        <w:rPr>
          <w:color w:val="000000"/>
        </w:rPr>
        <w:t>Bankguthaben, Bargeld, vor dem Vollzug entstandene Kundenforderungen, Steuererstattungsansprüche, Anfechtungsansprüche und Prozessansprüche verbleiben bei der Masse, soweit Anlage 3 nicht eine bestimmte Forderung ausdrücklich abweichend bezeichnet. Für jede ausnahmsweise mitverkaufte Forderung werden Schuldner, Rechtsgrund, Betrag, Einwendungen und bestehende Abtretungen dokumentiert. Eine Übertragung erfolgt durch gesonderte Abtretung und nur im verfügbaren Umfang.</w:t>
      </w:r>
    </w:p>
    <w:p>
      <w:pPr>
        <w:widowControl/>
        <w:jc w:val="left"/>
      </w:pPr>
      <w:r>
        <w:rPr>
          <w:color w:val="000000"/>
        </w:rPr>
        <w:t>Die offene Abschlagsforderung über 20000,00 EUR gegen Gewerbepark Veltengrund GmbH zum zweiten Bauabschnitt VG-241210 ist nicht mit einer neuen Vergütung für Restarbeiten gleichzusetzen. Die Sicherungsabtretung an Brückenbogen Objektfinanz GmbH bleibt bis zu einer gesonderten Regelung unberührt. Der Käuferin wird weder deren Erlös zugesagt noch eine Vollmacht zum Einzug erteilt. Eine Preisberechnung darf die Forderung nicht zugleich als freie Forderung und als Bestandteil des Auftragsbestands erfassen.</w:t>
      </w:r>
    </w:p>
    <w:p>
      <w:pPr>
        <w:pStyle w:val="Heading2"/>
        <w:widowControl/>
      </w:pPr>
      <w:r>
        <w:rPr>
          <w:rFonts w:ascii="Times New Roman" w:hAnsi="Times New Roman"/>
          <w:color w:val="000000"/>
        </w:rPr>
        <w:t>4. Kennzeichen und technische Unterlagen</w:t>
      </w:r>
    </w:p>
    <w:p>
      <w:pPr>
        <w:widowControl/>
        <w:jc w:val="left"/>
      </w:pPr>
      <w:r>
        <w:rPr>
          <w:color w:val="000000"/>
        </w:rPr>
        <w:t>Anlage 4 bezeichnet Geschäftsbezeichnungen, etwaige Markenrechte, Domains, Konstruktionsunterlagen sowie Software- und sonstige Nutzungsrechte einzeln. Der Nachweis eines Registerrechts wird nicht durch eine Rechnung über die Gestaltung eines Logos ersetzt. Die Verkäuferin überträgt nur bestehende und übertragbare Rechte. Erforderliche Zustimmungen oder vertragliche Änderungsvereinbarungen werden als Vollzugsunterlagen beigefügt.</w:t>
      </w:r>
    </w:p>
    <w:p>
      <w:pPr>
        <w:widowControl/>
        <w:jc w:val="left"/>
      </w:pPr>
      <w:r>
        <w:rPr>
          <w:color w:val="000000"/>
        </w:rPr>
        <w:t>Die aus Auftrag KL-2602 stammenden Fahrzeug- und Werbedateien werden gesondert vom ursprünglichen Unternehmenslogo behandelt. Ihre technische Verfügbarkeit im Ordner bedeutet nicht, dass die im Gestaltungsauftrag festgelegten Grenzen entfallen. Eine persönliche Softwarelizenz, private Beschäftigtenaufnahmen oder nicht benötigte Kommunikationsarchive werden nicht pauschal mitübertragen.</w:t>
      </w:r>
    </w:p>
    <w:p>
      <w:pPr>
        <w:pStyle w:val="Heading2"/>
        <w:widowControl/>
      </w:pPr>
      <w:r>
        <w:rPr>
          <w:rFonts w:ascii="Times New Roman" w:hAnsi="Times New Roman"/>
          <w:color w:val="000000"/>
        </w:rPr>
        <w:t>5. Laufende Aufträge und Räume</w:t>
      </w:r>
    </w:p>
    <w:p>
      <w:pPr>
        <w:widowControl/>
        <w:jc w:val="left"/>
      </w:pPr>
      <w:r>
        <w:rPr>
          <w:color w:val="000000"/>
        </w:rPr>
        <w:t>Anlage 5 nennt die zur Übernahme vorgesehenen Verträge einschließlich Leistungsstand, offenen Abnahmen, Nacharbeit, Gewährleistungsverpflichtungen und vereinnahmten Anzahlungen. Die Vertragsübernahme setzt die Zustimmung des jeweiligen Vertragspartners voraus. Eine Vereinbarung allein zwischen Verkäuferin und Käuferin befreit die bisherige Vertragspartei nicht von ihren Verpflichtungen. Bis zur wirksamen Übernahme darf die Käuferin keine fremden Forderungen fakturieren oder Leistungen im Namen der Schuldnerin zusagen.</w:t>
      </w:r>
    </w:p>
    <w:p>
      <w:pPr>
        <w:widowControl/>
        <w:jc w:val="left"/>
      </w:pPr>
      <w:r>
        <w:rPr>
          <w:color w:val="000000"/>
        </w:rPr>
        <w:t>Die weitere Nutzung der Hallen und Büros am Montagehof 18 wird vor Vollzug in einer Vereinbarung mit Torwinkel Gewerbehöfe GmbH geregelt. Der bisherige Mietvertrag TG-230201 enthält keine von der Käuferin zu vergütende Kaution. Die Parteien dokumentieren den Beginn der neuen Kostenverantwortung, Zählerstände und die Zuordnung etwaiger Betriebskostenabrechnungen. Eine Besichtigungsfreigabe ist noch keine Vertragsübernahme.</w:t>
      </w:r>
    </w:p>
    <w:p>
      <w:pPr>
        <w:widowControl/>
        <w:jc w:val="left"/>
      </w:pPr>
      <w:r>
        <w:rPr>
          <w:color w:val="000000"/>
        </w:rPr>
        <w:t>Die Vertragspartner erhalten eine abgestimmte Nachricht über den beabsichtigten Wechsel und die vorgesehenen Zuständigkeiten. Vorher werden nur die für Prüfung und Vollzug rechtlich zulässigen Daten offengelegt. Eine vollständige Übergabe sämtlicher Mitarbeiter- oder Kundenkommunikation ist nicht vereinbart.</w:t>
      </w:r>
    </w:p>
    <w:p>
      <w:pPr>
        <w:pStyle w:val="Heading2"/>
        <w:widowControl/>
      </w:pPr>
      <w:r>
        <w:rPr>
          <w:rFonts w:ascii="Times New Roman" w:hAnsi="Times New Roman"/>
          <w:color w:val="000000"/>
        </w:rPr>
        <w:t>6. Kaufpreis und Zahlung</w:t>
      </w:r>
    </w:p>
    <w:p>
      <w:pPr>
        <w:widowControl/>
        <w:jc w:val="left"/>
      </w:pPr>
      <w:r>
        <w:rPr>
          <w:color w:val="000000"/>
        </w:rPr>
        <w:t>Das Schreiben der Käuferin vom 09.09.2026 nennt 265000,00 EUR als unverbindlichen Rahmen für die ausgewählten Betriebsmittel und Rechte ohne Warenpreis. Vor Unterzeichnung vereinbaren die Parteien in Anlage 6 den tatsächlichen Festpreis [EUR] und seine Aufteilung. Der nach Ziffer 2 ermittelte Warenpreis kommt hinzu. Ablösezahlungen an Dritte werden ausdrücklich entweder auf den Festpreis angerechnet oder als gesonderte Position vereinbart; eine verdeckte Doppelbelastung ist ausgeschlossen.</w:t>
      </w:r>
    </w:p>
    <w:p>
      <w:pPr>
        <w:widowControl/>
        <w:jc w:val="left"/>
      </w:pPr>
      <w:r>
        <w:rPr>
          <w:color w:val="000000"/>
        </w:rPr>
        <w:t>Der Gesamtkaufpreis ist vor Besitzübergang auf das von der Verkäuferin schriftlich benannte Massekonto zu zahlen. Zahlung an die Schuldnerin, an deren Gesellschafter oder einen einzelnen Gläubiger hat ohne gesonderte Erfüllungsvereinbarung keine befreiende Wirkung gegenüber der Verkäuferin.</w:t>
      </w:r>
    </w:p>
    <w:p>
      <w:pPr>
        <w:widowControl/>
        <w:jc w:val="left"/>
      </w:pPr>
      <w:r>
        <w:rPr>
          <w:color w:val="000000"/>
        </w:rPr>
        <w:t>Die steuerliche Behandlung wird anhand des tatsächlich übertragenen Betriebs geprüft. Liegt eine Geschäftsveräußerung im Ganzen nach Paragraf 1 Absatz 1a UStG vor, wird keine Umsatzsteuer ausgewiesen. Soweit Umsatzsteuer gesetzlich entsteht, schuldet die Käuferin diese zusätzlich gegen ordnungsgemäße Rechnung. Die bloße Bezeichnung als Asset Deal legt die Behandlung nicht abschließend fest.</w:t>
      </w:r>
    </w:p>
    <w:p>
      <w:pPr>
        <w:pStyle w:val="Heading2"/>
        <w:widowControl/>
      </w:pPr>
      <w:r>
        <w:rPr>
          <w:rFonts w:ascii="Times New Roman" w:hAnsi="Times New Roman"/>
          <w:color w:val="000000"/>
        </w:rPr>
        <w:t>7. Beschäftigte und Betriebsübergang</w:t>
      </w:r>
    </w:p>
    <w:p>
      <w:pPr>
        <w:widowControl/>
        <w:jc w:val="left"/>
      </w:pPr>
      <w:r>
        <w:rPr>
          <w:color w:val="000000"/>
        </w:rPr>
        <w:t>Nach der Besprechung vom 08.09.2026 bestehen 28 Arbeitsverhältnisse. Die Zuordnung zum übertragenen Betrieb, die Arbeitsbedingungen, Urlaubsstände und Maßnahmen werden vor Vollzug dokumentiert. Die Aufnahme in eine Liste entscheidet nicht darüber, ob ein Arbeitsverhältnis kraft Gesetzes übergeht. Gesetzliche Rechtsfolgen eines Betriebsübergangs richten sich nach Paragraf 613a BGB unter Berücksichtigung des eröffneten Insolvenzverfahrens.</w:t>
      </w:r>
    </w:p>
    <w:p>
      <w:pPr>
        <w:widowControl/>
        <w:jc w:val="left"/>
      </w:pPr>
      <w:r>
        <w:rPr>
          <w:color w:val="000000"/>
        </w:rPr>
        <w:t>Verkäuferin und Käuferin bereiten die erforderliche Unterrichtung in Textform gemeinsam vor. Zeitpunkt, Erwerber, wirtschaftliche und rechtliche Folgen sowie vorgesehene Maßnahmen müssen dem vereinbarten Erwerb entsprechen. Gesetzliche Widerspruchsrechte bleiben unberührt. Der Vertrag enthält weder Kündigungserklärungen noch eine Vereinbarung mit den Beschäftigten über den Verzicht auf Rechte. Die Parteien stimmen den Umgang mit der bestehenden Insolvenzgeldvorfinanzierung gesondert ab; diese wird nicht allein durch den Betriebskauf erledigt.</w:t>
      </w:r>
    </w:p>
    <w:p>
      <w:pPr>
        <w:pStyle w:val="Heading2"/>
        <w:widowControl/>
      </w:pPr>
      <w:r>
        <w:rPr>
          <w:rFonts w:ascii="Times New Roman" w:hAnsi="Times New Roman"/>
          <w:color w:val="000000"/>
        </w:rPr>
        <w:t>8. Vollzugsvoraussetzungen</w:t>
      </w:r>
    </w:p>
    <w:p>
      <w:pPr>
        <w:widowControl/>
        <w:jc w:val="left"/>
      </w:pPr>
      <w:r>
        <w:rPr>
          <w:color w:val="000000"/>
        </w:rPr>
        <w:t>Angestrebt wird der 01.10.2026 um 07:00 Uhr. Vollzogen wird erst nach Zahlung, gemeinsamer Festlegung aller Kaufgegenstände, dokumentierter Zustimmung des zuständigen Gläubigerorgans und gesicherter Nutzung des Betriebsgrundstücks. Soweit ein Gegenstand oder ein Vertrag für den Fortführungszweck unverzichtbar ist, kennzeichnen beide Parteien ihn vor Unterzeichnung in Anlage 7; ohne dessen wirksame Übertragung erfolgt kein Teilvollzug.</w:t>
      </w:r>
    </w:p>
    <w:p>
      <w:pPr>
        <w:widowControl/>
        <w:jc w:val="left"/>
      </w:pPr>
      <w:r>
        <w:rPr>
          <w:color w:val="000000"/>
        </w:rPr>
        <w:t>Die Zustimmung wird als vertragliche Vollzugsvoraussetzung vereinbart. Paragraf 164 InsO bleibt für die gesetzliche Außenwirksamkeit unberührt. Eine erforderliche Befassung nach den Paragrafen 160 bis 163 InsO wird nicht durch eine Erklärung der Geschäftsführung der Schuldnerin ersetzt. Liegen die Voraussetzungen bis zum 15.10.2026 nicht vor, kann jede Partei schriftlich zurücktreten. Bereits erbrachte Kaufpreiszahlungen werden zurückgewährt; weitergehende Ansprüche aus einer Pflichtverletzung bleiben bestehen.</w:t>
      </w:r>
    </w:p>
    <w:p>
      <w:pPr>
        <w:pStyle w:val="Heading2"/>
        <w:widowControl/>
      </w:pPr>
      <w:r>
        <w:rPr>
          <w:rFonts w:ascii="Times New Roman" w:hAnsi="Times New Roman"/>
          <w:color w:val="000000"/>
        </w:rPr>
        <w:t>9. Übergabe und Abgrenzung</w:t>
      </w:r>
    </w:p>
    <w:p>
      <w:pPr>
        <w:widowControl/>
        <w:jc w:val="left"/>
      </w:pPr>
      <w:r>
        <w:t>Bei Vollzug einigen sich die Parteien über den Eigentumsübergang an den in den unterzeichneten Anlagen bestimmten beweglichen Sachen; die Verkäuferin verschafft der Käuferin zugleich den Besitz. Für Rechte werden die erforderlichen Übertragungs- und Mitwirkungserklärungen gesondert abgegeben. Im Übergabeprotokoll werden Zeitpunkt, Bestandsnummern, Zustand, Unterlagen, Schlüssel, Fahrzeugpapiere, Zählerstände und Zugangsänderungen festgehalten. Gefahren und laufende Kosten gehen mit tatsächlicher Übergabe des jeweiligen Gegenstands über. Aufträge werden anhand von Aufmaß und Leistungsstand abgegrenzt. Eine im September erbrachte Leistung wird nicht allein wegen späterer Rechnungsstellung der Käuferin zugerechnet.</w:t>
      </w:r>
    </w:p>
    <w:p>
      <w:pPr>
        <w:widowControl/>
        <w:jc w:val="left"/>
      </w:pPr>
      <w:r>
        <w:rPr>
          <w:color w:val="000000"/>
        </w:rPr>
        <w:t>Die Verkäuferin behält für Verfahren und Aufbewahrungspflichten erforderliche Unterlagen. Erforderliche Arbeitskopien werden der Käuferin in dem zulässigen Umfang zugänglich gemacht. Übergabe und Nutzung von Zugangsdaten werden getrennt protokolliert; private Konten und Beschäftigtendaten ohne Übertragungsgrund bleiben ausgesondert.</w:t>
      </w:r>
    </w:p>
    <w:p>
      <w:pPr>
        <w:pStyle w:val="Heading2"/>
        <w:widowControl/>
      </w:pPr>
      <w:r>
        <w:rPr>
          <w:rFonts w:ascii="Times New Roman" w:hAnsi="Times New Roman"/>
          <w:color w:val="000000"/>
        </w:rPr>
        <w:t>10. Haftung und Gläubigerforderungen</w:t>
      </w:r>
    </w:p>
    <w:p>
      <w:pPr>
        <w:widowControl/>
        <w:jc w:val="left"/>
      </w:pPr>
      <w:r>
        <w:rPr>
          <w:color w:val="000000"/>
        </w:rPr>
        <w:t>Eine Übernahme vor dem Stichtag begründeter Verbindlichkeiten erfolgt nur, wenn sie ausdrücklich vereinbart und erforderlichenfalls vom Gläubiger genehmigt ist. Zwingende gesetzliche Haftung bleibt unberührt. Der Kaufpreis dient nicht automatisch der Befriedigung der in der Akte angemeldeten Forderungen. Anerkennung, Bestreiten, Rang und Ausfall dieser Forderungen werden durch diesen Vertrag nicht festgelegt.</w:t>
      </w:r>
    </w:p>
    <w:p>
      <w:pPr>
        <w:widowControl/>
        <w:jc w:val="left"/>
      </w:pPr>
      <w:r>
        <w:rPr>
          <w:color w:val="000000"/>
        </w:rPr>
        <w:t>Die gebrauchten Sachen werden im besichtigten Zustand verkauft. Sachmängelrechte werden im gesetzlich zulässigen Umfang ausgeschlossen. Unberührt bleiben Ansprüche wegen Arglist, ausdrücklicher Garantie, Vorsatzes, grober Fahrlässigkeit sowie schuldhafter Verletzung von Leben, Körper oder Gesundheit. Die Pflicht, das vereinbarte Eigentum und die vereinbarten Rechte zu verschaffen, bleibt bestehen. Weder ein bestimmter zukünftiger Umsatz noch der Erfolg einer Kundenansprache wird garantiert.</w:t>
      </w:r>
    </w:p>
    <w:p>
      <w:pPr>
        <w:pStyle w:val="Heading2"/>
        <w:widowControl/>
      </w:pPr>
      <w:r>
        <w:rPr>
          <w:rFonts w:ascii="Times New Roman" w:hAnsi="Times New Roman"/>
          <w:color w:val="000000"/>
        </w:rPr>
        <w:t>11. Schlussbestimmungen und Unterschriften</w:t>
      </w:r>
    </w:p>
    <w:p>
      <w:pPr>
        <w:widowControl/>
        <w:jc w:val="left"/>
      </w:pPr>
      <w:r>
        <w:rPr>
          <w:color w:val="000000"/>
        </w:rPr>
        <w:t>Vertragsänderungen und Vollzugserklärungen werden schriftlich dokumentiert. Gesetzliche Formvorschriften bleiben unberührt. Ansprechpartner sind verfahren@tervens-sander.example und geschaeftsfuehrung@werkbogen.example. Nebenabreden müssen in den Vertragsbestand aufgenommen werden; individuell getroffene Vereinbarungen haben Vorrang.</w:t>
      </w:r>
    </w:p>
    <w:p>
      <w:pPr>
        <w:widowControl/>
        <w:jc w:val="left"/>
      </w:pPr>
      <w:r>
        <w:rPr>
          <w:color w:val="000000"/>
        </w:rPr>
        <w:t>Ort und Datum: [Ort und Datum]</w:t>
      </w:r>
    </w:p>
    <w:p>
      <w:pPr>
        <w:widowControl/>
        <w:jc w:val="left"/>
      </w:pPr>
      <w:r>
        <w:rPr>
          <w:color w:val="000000"/>
        </w:rPr>
        <w:t>Dr. Malin Tervens als Insolvenzverwalterin: ____________________</w:t>
      </w:r>
    </w:p>
    <w:p>
      <w:pPr>
        <w:widowControl/>
        <w:jc w:val="left"/>
      </w:pPr>
      <w:r>
        <w:rPr>
          <w:color w:val="000000"/>
        </w:rPr>
        <w:t>Leander Voss für Werkbogen Montage GmbH: ____________________</w:t>
      </w:r>
    </w:p>
    <w:p>
      <w:pPr>
        <w:pStyle w:val="Heading2"/>
        <w:widowControl/>
      </w:pPr>
      <w:r>
        <w:rPr>
          <w:rFonts w:ascii="Times New Roman" w:hAnsi="Times New Roman"/>
          <w:color w:val="000000"/>
        </w:rPr>
        <w:t>12. Noch abzustimmende Anlagen</w:t>
      </w:r>
    </w:p>
    <w:p>
      <w:pPr>
        <w:widowControl/>
        <w:jc w:val="left"/>
      </w:pPr>
      <w:r>
        <w:rPr>
          <w:color w:val="000000"/>
        </w:rPr>
        <w:t>Anlage 1 wird mit [Bestandsnummern, Seriennummern, Zubehör und Freigaben] vervollständigt. Anlage 2 erhält [Warenpositionen, Mengen, Zuordnung und Preise]. Anlage 3 benennt [gegebenenfalls einzelne abgetretene Forderungen]; ohne solche ausdrückliche Benennung werden keine Altforderungen verkauft. Anlage 4 enthält [Kennzeichen, Rechteumfang und Rechtekette].</w:t>
      </w:r>
    </w:p>
    <w:p>
      <w:pPr>
        <w:widowControl/>
        <w:jc w:val="left"/>
      </w:pPr>
      <w:r>
        <w:rPr>
          <w:color w:val="000000"/>
        </w:rPr>
        <w:t>Anlage 5 enthält [einzeln übernommene Verträge und Zustimmungen]. Anlage 6 legt [Festpreis, Aufteilung und Ablösungsanrechnung] fest. Anlage 7 bezeichnet [unverzichtbare Positionen und Vollzugsnachweise]. Die Personalanlage wird zugriffsbeschränkt beigefügt. Anlage 8 ist das gemeinsam unterzeichnete Übergabeprotokoll. Die Arbeitsmappe 62 bleibt bis zur Unterzeichnung eine Bestandsunterlage und ersetzt diese Anlagen nicht.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sz w:val="18"/>
      </w:rPr>
      <w:t>72 IN 184/26 | Montagehof 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