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after="80"/>
      </w:pPr>
      <w:r>
        <w:rPr>
          <w:rFonts w:ascii="Times New Roman" w:hAnsi="Times New Roman"/>
          <w:color w:val="000000"/>
        </w:rPr>
        <w:t>Betriebskaufvertrag Pistazienknopf</w:t>
      </w:r>
    </w:p>
    <w:p>
      <w:pPr>
        <w:widowControl/>
        <w:spacing w:after="80"/>
        <w:jc w:val="left"/>
      </w:pPr>
      <w:r>
        <w:rPr>
          <w:color w:val="000000"/>
        </w:rPr>
        <w:t>Sattler &amp; Riedl Rechtsanwälte | Kontorhof 8, 80339 München</w:t>
      </w:r>
    </w:p>
    <w:p>
      <w:pPr>
        <w:widowControl/>
        <w:spacing w:after="80"/>
        <w:jc w:val="left"/>
      </w:pPr>
      <w:r>
        <w:rPr>
          <w:color w:val="000000"/>
        </w:rPr>
        <w:t>PK-26-071 | Bearbeitung: Dr. Lorenz Sattler | 28.08.2026</w:t>
      </w:r>
    </w:p>
    <w:p>
      <w:pPr>
        <w:widowControl/>
        <w:spacing w:after="80"/>
        <w:jc w:val="left"/>
      </w:pPr>
      <w:r>
        <w:rPr>
          <w:color w:val="000000"/>
        </w:rPr>
        <w:t>Verhandlungsfassung für Isarkruste Backstuben GmbH. Nicht unterzeichnet. Die Anlagen sind noch nicht gemeinsam festgelegt.</w:t>
      </w:r>
    </w:p>
    <w:p>
      <w:pPr>
        <w:pStyle w:val="Heading2"/>
        <w:widowControl/>
        <w:spacing w:after="80"/>
      </w:pPr>
      <w:r>
        <w:rPr>
          <w:rFonts w:ascii="Times New Roman" w:hAnsi="Times New Roman"/>
          <w:color w:val="000000"/>
        </w:rPr>
        <w:t>1. Vertragsparteien und Betrieb</w:t>
      </w:r>
    </w:p>
    <w:p>
      <w:pPr>
        <w:widowControl/>
        <w:jc w:val="left"/>
      </w:pPr>
      <w:r>
        <w:rPr>
          <w:color w:val="000000"/>
        </w:rPr>
        <w:t>Dr. Lorenz Sattler handelt ausschließlich als Insolvenzverwalter über das Vermögen der Pistazienknopf Brezelmanufaktur GmbH, Backhof 12, 81379 München, Amtsgericht München, HRB 284613. Seine Bestellung ergibt sich aus dem Beschluss des Amtsgerichts München vom 01.07.2026, 1500 IN 862/26. Er wird nachfolgend Verkäufer genannt. Er schließt den Vertrag nicht für sein persönliches Vermögen.</w:t>
      </w:r>
    </w:p>
    <w:p>
      <w:pPr>
        <w:widowControl/>
        <w:jc w:val="left"/>
      </w:pPr>
      <w:r>
        <w:rPr>
          <w:color w:val="000000"/>
        </w:rPr>
        <w:t>Käufer ist die Isarkruste Backstuben GmbH, Teighof 7, 81543 München, vertreten durch Geschäftsführer Anton Wendel. Der aktuelle Registerauszug und der Nachweis der Vertretungsbefugnis sind vor Unterzeichnung beizufügen. Gegenstand ist die geplante Fortführung der Backstube mit Ladenverkauf am Backhof 12. Geschäftsanteile an der Schuldnerin werden nicht verkauft.</w:t>
      </w:r>
    </w:p>
    <w:p>
      <w:pPr>
        <w:pStyle w:val="Heading2"/>
        <w:widowControl/>
      </w:pPr>
      <w:r>
        <w:rPr>
          <w:rFonts w:ascii="Times New Roman" w:hAnsi="Times New Roman"/>
          <w:color w:val="000000"/>
        </w:rPr>
        <w:t>2. Kaufgegenstände und Anlagen</w:t>
      </w:r>
    </w:p>
    <w:p>
      <w:pPr>
        <w:widowControl/>
        <w:jc w:val="left"/>
      </w:pPr>
      <w:r>
        <w:rPr>
          <w:color w:val="000000"/>
        </w:rPr>
        <w:t>Der Verkäufer verkauft ausschließlich die in der unterzeichneten Anlage 1 einzeln bezeichneten beweglichen Sachen und die nach Ziffer 3 bestimmte Ware. Anlage 1 nennt für jede Sache die Bestandsnummer, Bezeichnung, Seriennummer, den Standort sowie die mitübergebenen Zubehörteile. Das Bestandsverzeichnis vom 28.08.2026 dient der Abstimmung; seine Aufnahme in den Datenraum allein ersetzt die Einigung über den Kaufgegenstand nicht.</w:t>
      </w:r>
    </w:p>
    <w:p>
      <w:pPr>
        <w:widowControl/>
        <w:jc w:val="left"/>
      </w:pPr>
      <w:r>
        <w:rPr>
          <w:color w:val="000000"/>
        </w:rPr>
        <w:t>Mitverkauft werden nur diejenigen Kennzeichen, Domainpositionen und Nutzungsrechte, die in Anlage 2 nach Gegenstand, Rechtsinhaber, Umfang und erforderlicher Mitwirkung bezeichnet sind. Der Verkäufer räumt keine weitergehenden Rechte ein, als ihm zustehen. Die Geschäftsbezeichnung, das Ladenzeichen, die Website-Dateien und der Vertrag über den Webspeicher sind jeweils gesondert aufzuführen. Mit der Übergabe eines Passworts ist kein Nutzungsrecht übertragen.</w:t>
      </w:r>
    </w:p>
    <w:p>
      <w:pPr>
        <w:widowControl/>
        <w:jc w:val="left"/>
      </w:pPr>
      <w:r>
        <w:rPr>
          <w:color w:val="000000"/>
        </w:rPr>
        <w:t>Bargeld, Bankguthaben, Forderungen aus Leistungen vor dem Übernahmestichtag, Erstattungsansprüche, Anfechtungsansprüche und die Verfahrensunterlagen verbleiben beim Verkäufer. Gegenstände des benachbarten Betriebs am Backhof 14 sind nicht Vertragsgegenstand. Persönliche Gegenstände der Beschäftigten werden nicht verkauft.</w:t>
      </w:r>
    </w:p>
    <w:p>
      <w:pPr>
        <w:pStyle w:val="Heading2"/>
        <w:widowControl/>
      </w:pPr>
      <w:r>
        <w:rPr>
          <w:rFonts w:ascii="Times New Roman" w:hAnsi="Times New Roman"/>
          <w:color w:val="000000"/>
        </w:rPr>
        <w:t>3. Warenbestand und Preis</w:t>
      </w:r>
    </w:p>
    <w:p>
      <w:pPr>
        <w:widowControl/>
        <w:jc w:val="left"/>
      </w:pPr>
      <w:r>
        <w:rPr>
          <w:color w:val="000000"/>
        </w:rPr>
        <w:t>Der vom Käufer am 26.08.2026 genannte Betrag von 24000,00 EUR ist ein unverbindliches Angebot für die noch abzustimmenden Betriebsmittel und Rechte; er ist noch kein vereinbarter Kaufpreis. Vor Unterzeichnung tragen beide Parteien den ausgehandelten Festpreis von [Festpreis in EUR] sowie seine Aufteilung auf die Anlagen in Ziffer 12 ein. Ohne diese Einigung wird der Vertrag nicht unterzeichnet.</w:t>
      </w:r>
    </w:p>
    <w:p>
      <w:pPr>
        <w:widowControl/>
        <w:jc w:val="left"/>
      </w:pPr>
      <w:r>
        <w:rPr>
          <w:color w:val="000000"/>
        </w:rPr>
        <w:t>Die bei Übergabe vorhandene, verwendbare Ware wird zusätzlich nach einer gemeinsamen Zählung abgerechnet. Anlage 3 bestimmt die übernommenen Chargen, Einheiten, Mengen und vereinbarten Nettoeinzelpreise. Verdorbene, abgelaufene oder bereits verkaufte Ware wird nicht berechnet. Bis dahin dient die Zählung vom 28.08.2026 nur der Besichtigung; sie ist kein zugesagter Übergabebestand. Abweichungen hält das Übergabeprotokoll chargenbezogen fest. Die Summe aus Festpreis und Warenpreis ist der Gesamtkaufpreis.</w:t>
      </w:r>
    </w:p>
    <w:p>
      <w:pPr>
        <w:widowControl/>
        <w:jc w:val="left"/>
      </w:pPr>
      <w:r>
        <w:rPr>
          <w:color w:val="000000"/>
        </w:rPr>
        <w:t>Die Parteien beabsichtigen die Fortführung eines Betriebs. Sie lassen vor Rechnungsstellung klären, ob die Voraussetzungen einer Geschäftsveräußerung im Ganzen nach Paragraf 1 Absatz 1a UStG erfüllt sind. Nur soweit tatsächlich Umsatzsteuer geschuldet wird, zahlt der Käufer sie zusätzlich gegen eine ordnungsgemäße Rechnung. Ein pauschaler Steuerausweis auf sämtliche Gegenstände wird nicht vereinbart.</w:t>
      </w:r>
    </w:p>
    <w:p>
      <w:pPr>
        <w:pStyle w:val="Heading2"/>
        <w:widowControl/>
      </w:pPr>
      <w:r>
        <w:rPr>
          <w:rFonts w:ascii="Times New Roman" w:hAnsi="Times New Roman"/>
          <w:color w:val="000000"/>
        </w:rPr>
        <w:t>4. Voraussetzungen der Übergabe</w:t>
      </w:r>
    </w:p>
    <w:p>
      <w:pPr>
        <w:widowControl/>
        <w:jc w:val="left"/>
      </w:pPr>
      <w:r>
        <w:rPr>
          <w:color w:val="000000"/>
        </w:rPr>
        <w:t>Angestrebt ist der 01.10.2026 um 06:00 Uhr. Die Übergabe setzt den Eingang des Festpreises und des anhand der gemeinsamen Zählung ermittelten Warenpreises auf dem vom Verkäufer schriftlich mitgeteilten Massekonto voraus. Eine Zahlung auf das bisherige Geschäftskonto ersetzt diese Zahlung nicht ohne ausdrückliche Bestätigung des Verkäufers.</w:t>
      </w:r>
    </w:p>
    <w:p>
      <w:pPr>
        <w:widowControl/>
        <w:jc w:val="left"/>
      </w:pPr>
      <w:r>
        <w:rPr>
          <w:color w:val="000000"/>
        </w:rPr>
        <w:t>Weitere Voraussetzungen sind die dokumentierte Zustimmung des zuständigen Gläubigerorgans zur Veräußerung und ein ab Übernahme wirksamer Mietvertrag oder eine dreiseitige Vertragsübernahme für Backhof 12. Erforderliche betriebliche Anmeldungen und Zulassungen beschafft der Käufer selbst. Die Nachricht des Vermieters vom 27.08.2026 ist noch kein Mietvertrag.</w:t>
      </w:r>
    </w:p>
    <w:p>
      <w:pPr>
        <w:widowControl/>
        <w:jc w:val="left"/>
      </w:pPr>
      <w:r>
        <w:rPr>
          <w:color w:val="000000"/>
        </w:rPr>
        <w:t>Die Gläubigerzustimmung wird hier ausdrücklich als vertragliche Vollzugsvoraussetzung vereinbart. Die Parteien stellen damit keine abweichende Behauptung zur gesetzlichen Außenwirksamkeit nach Paragraf 164 InsO auf. Bis zur dokumentierten Erfüllung der Voraussetzungen bleiben Nutzung und Besitz beim Verkäufer. Ist bis 15.10.2026 kein Vollzug möglich, darf jede Partei durch schriftliche Erklärung zurücktreten; bereits gezahlte Kaufpreisbeträge sind zurückzuzahlen. Bereits entstandene Ansprüche wegen Pflichtverletzung bleiben unberührt.</w:t>
      </w:r>
    </w:p>
    <w:p>
      <w:pPr>
        <w:pStyle w:val="Heading2"/>
        <w:widowControl/>
      </w:pPr>
      <w:r>
        <w:rPr>
          <w:rFonts w:ascii="Times New Roman" w:hAnsi="Times New Roman"/>
          <w:color w:val="000000"/>
        </w:rPr>
        <w:t>5. Eigentum und Rechte Dritter</w:t>
      </w:r>
    </w:p>
    <w:p>
      <w:pPr>
        <w:widowControl/>
        <w:jc w:val="left"/>
      </w:pPr>
      <w:r>
        <w:rPr>
          <w:color w:val="000000"/>
        </w:rPr>
        <w:t>Die Parteien einigen sich bei Vollzug über den Eigentumsübergang an den bestimmten Kaufgegenständen; die Übergabe erfolgt zugleich durch Besitzverschaffung und Schlüsselübergabe. Für Ware gilt die unterzeichnete Zählliste. Bei einem Eigentumsvorbehalt oder einem sonstigen Recht Dritter erfolgt keine lastenfreie Übertragung ohne die erforderliche Freigabe. Die betroffene Position wird entweder mit dokumentierter Freigabe vollzogen oder vor Unterzeichnung aus Umfang und Preis herausgenommen.</w:t>
      </w:r>
    </w:p>
    <w:p>
      <w:pPr>
        <w:widowControl/>
        <w:jc w:val="left"/>
      </w:pPr>
      <w:r>
        <w:rPr>
          <w:color w:val="000000"/>
        </w:rPr>
        <w:t>Die Aufnahme einer Rechnung in den Bestand oder die Anmeldung einer Forderung zur Insolvenztabelle bedeutet keine Freigabe. Ebenso wird eine Forderungsanmeldung durch den Betriebskauf weder anerkannt noch berichtigt oder zurückgenommen. Zahlungen zur Ablösung eines Rechts bedürfen einer gesonderten Vereinbarung mit dem Berechtigten und einer eindeutigen Zuordnung; eine doppelte Zahlung für denselben Gegenstand ist nicht geschuldet.</w:t>
      </w:r>
    </w:p>
    <w:p>
      <w:pPr>
        <w:pStyle w:val="Heading2"/>
        <w:widowControl/>
      </w:pPr>
      <w:r>
        <w:rPr>
          <w:rFonts w:ascii="Times New Roman" w:hAnsi="Times New Roman"/>
          <w:color w:val="000000"/>
        </w:rPr>
        <w:t>6. Kunden und laufende Verträge</w:t>
      </w:r>
    </w:p>
    <w:p>
      <w:pPr>
        <w:widowControl/>
        <w:jc w:val="left"/>
      </w:pPr>
      <w:r>
        <w:rPr>
          <w:color w:val="000000"/>
        </w:rPr>
        <w:t>Anlage 4 bezeichnet jeden zur Übernahme vorgesehenen Vertrag mit Vertragspartner, Datum, Laufzeit, offenen Leistungen, Vorauszahlungen und Zustimmungslage. Eine Vertragsübernahme erfolgt erst, wenn der Vertragspartner und beide Vertragsparteien ihr zustimmen. Ohne Zustimmung arbeitet der Käufer weder unter fremdem Namen noch auf fremde Rechnung weiter. Eine Ersatzlösung wird nur aufgrund einer gesonderten schriftlichen Vereinbarung umgesetzt.</w:t>
      </w:r>
    </w:p>
    <w:p>
      <w:pPr>
        <w:widowControl/>
        <w:jc w:val="left"/>
      </w:pPr>
      <w:r>
        <w:rPr>
          <w:color w:val="000000"/>
        </w:rPr>
        <w:t>Die Frühstückslieferung an die Grünwinkel Bürogemeinschaft GmbH ist in der Anlage getrennt von einzelnen Ladenbestellungen zu behandeln. Die Parteien sagen weder künftige Bestellungen noch Kundentreue zu. Vor dem Stichtag vereinnahmte Anzahlungen werden nur bei ausdrücklicher Zuordnung zur übernommenen Leistung angerechnet. Bereits entstandene Forderungen gehen ohne gesonderte Abtretung nicht über. Bloße Adressbücher und private Nachrichten werden nicht pauschal übergeben; die Parteien beschränken den Datentransfer auf den rechtlich zulässigen und für den konkreten Vertragsvollzug erforderlichen Bestand.</w:t>
      </w:r>
    </w:p>
    <w:p>
      <w:pPr>
        <w:pStyle w:val="Heading2"/>
        <w:widowControl/>
      </w:pPr>
      <w:r>
        <w:rPr>
          <w:rFonts w:ascii="Times New Roman" w:hAnsi="Times New Roman"/>
          <w:color w:val="000000"/>
        </w:rPr>
        <w:t>7. Beschäftigte</w:t>
      </w:r>
    </w:p>
    <w:p>
      <w:pPr>
        <w:widowControl/>
        <w:jc w:val="left"/>
      </w:pPr>
      <w:r>
        <w:rPr>
          <w:color w:val="000000"/>
        </w:rPr>
        <w:t>Der Betrieb beschäftigt nach dem Fortführungsbericht fünf Arbeitnehmer. Die Parteien erfassen die tatsächlich zugeordneten Arbeitsverhältnisse, Arbeitsbedingungen, Urlaubskonten und geplanten Maßnahmen vor Übergabe in einer gesondert gesicherten Personalanlage. Diese Anlage dient der Dokumentation, nicht der freien Auswahl, welche Arbeitsverhältnisse gesetzlich übergehen.</w:t>
      </w:r>
    </w:p>
    <w:p>
      <w:pPr>
        <w:widowControl/>
        <w:jc w:val="left"/>
      </w:pPr>
      <w:r>
        <w:rPr>
          <w:color w:val="000000"/>
        </w:rPr>
        <w:t>Soweit ein Betriebsübergang vorliegt, richten sich der Übergang, die Unterrichtung und das Widerspruchsrecht nach Paragraf 613a BGB unter Berücksichtigung der Besonderheiten des eröffneten Insolvenzverfahrens. Zwingende Arbeitnehmerrechte werden durch diesen Vertrag nicht ausgeschlossen. Die Parteien stimmen ein zutreffendes Unterrichtungsschreiben ab. Es wird nicht durch eine allgemeine Mitteilung über den Verkauf ersetzt.</w:t>
      </w:r>
    </w:p>
    <w:p>
      <w:pPr>
        <w:pStyle w:val="Heading2"/>
        <w:widowControl/>
      </w:pPr>
      <w:r>
        <w:rPr>
          <w:rFonts w:ascii="Times New Roman" w:hAnsi="Times New Roman"/>
          <w:color w:val="000000"/>
        </w:rPr>
        <w:t>8. Übergabe und Unterlagen</w:t>
      </w:r>
    </w:p>
    <w:p>
      <w:pPr>
        <w:widowControl/>
        <w:jc w:val="left"/>
      </w:pPr>
      <w:r>
        <w:rPr>
          <w:color w:val="000000"/>
        </w:rPr>
        <w:t>Beide Parteien protokollieren Gegenstände, Chargen, Schlüssel, Zählerstände, Bedienungsunterlagen, Zugangsumstellungen und noch fehlende Zustimmungen. Passwörter werden außerhalb des allgemein zugänglichen Vertragsordners übermittelt und anschließend geändert. Der Verkäufer behält diejenigen Buchungs- und Personalunterlagen, die er für das Verfahren benötigt; erforderliche Kopien werden zweckgebunden bereitgestellt.</w:t>
      </w:r>
    </w:p>
    <w:p>
      <w:pPr>
        <w:widowControl/>
        <w:jc w:val="left"/>
      </w:pPr>
      <w:r>
        <w:rPr>
          <w:color w:val="000000"/>
        </w:rPr>
        <w:t>Mit tatsächlicher Übergabe trägt der Käufer die laufenden Betriebskosten und das Risiko des zufälligen Verlusts der übergebenen Sachen. Bis zur Übergabe trägt der Verkäufer die Kosten der von ihm fortgeführten Tätigkeit. Abrechnungszeiträume und Zählerstände verhindern eine doppelte Belastung. Der Käufer veranlasst rechtzeitig den eigenen Versicherungsschutz.</w:t>
      </w:r>
    </w:p>
    <w:p>
      <w:pPr>
        <w:pStyle w:val="Heading2"/>
        <w:widowControl/>
      </w:pPr>
      <w:r>
        <w:rPr>
          <w:rFonts w:ascii="Times New Roman" w:hAnsi="Times New Roman"/>
          <w:color w:val="000000"/>
        </w:rPr>
        <w:t>9. Haftung und bestehende Verbindlichkeiten</w:t>
      </w:r>
    </w:p>
    <w:p>
      <w:pPr>
        <w:widowControl/>
        <w:jc w:val="left"/>
      </w:pPr>
      <w:r>
        <w:rPr>
          <w:color w:val="000000"/>
        </w:rPr>
        <w:t>Der Käufer übernimmt keine vor dem Stichtag entstandenen Verbindlichkeiten allein aufgrund ihrer Erwähnung im Datenraum. Eine ausdrücklich vereinbarte Schuldübernahme setzt die notwendige Gläubigergenehmigung voraus. Zwingende gesetzliche Haftung bleibt unberührt.</w:t>
      </w:r>
    </w:p>
    <w:p>
      <w:pPr>
        <w:widowControl/>
        <w:jc w:val="left"/>
      </w:pPr>
      <w:r>
        <w:rPr>
          <w:color w:val="000000"/>
        </w:rPr>
        <w:t>Die gebrauchten Sachen werden im besichtigten Zustand veräußert. Sachmängelrechte werden im gesetzlich zulässigen Umfang ausgeschlossen. Nicht ausgeschlossen sind Ansprüche wegen arglistigen Verschweigens, ausdrücklich übernommener Garantien, Vorsatzes, grober Fahrlässigkeit oder schuldhafter Verletzung von Leben, Körper oder Gesundheit. Eine Garantie für Umsatz, Ertrag, Markenregistrierung oder die Zustimmung eines Dritten wird nicht abgegeben. Die Pflicht zur Übertragung der ausdrücklich vereinbarten Rechte bleibt bestehen.</w:t>
      </w:r>
    </w:p>
    <w:p>
      <w:pPr>
        <w:pStyle w:val="Heading2"/>
        <w:widowControl/>
      </w:pPr>
      <w:r>
        <w:rPr>
          <w:rFonts w:ascii="Times New Roman" w:hAnsi="Times New Roman"/>
          <w:color w:val="000000"/>
        </w:rPr>
        <w:t>10. Änderungen und Erklärungen</w:t>
      </w:r>
    </w:p>
    <w:p>
      <w:pPr>
        <w:widowControl/>
        <w:jc w:val="left"/>
      </w:pPr>
      <w:r>
        <w:rPr>
          <w:color w:val="000000"/>
        </w:rPr>
        <w:t>Erklärungen zum Vollzug richten die Parteien an verfahren@sattler-riedl.example und geschaeftsfuehrung@isarkruste.example. Vertragsänderungen werden schriftlich festgehalten; gesetzliche Formvorschriften bleiben unberührt. Mündliche Verhandlungen allein erweitern den Kaufgegenstand nicht. Individuelle Vereinbarungen haben Vorrang vor allgemeinen Vertragsbedingungen.</w:t>
      </w:r>
    </w:p>
    <w:p>
      <w:pPr>
        <w:pStyle w:val="Heading2"/>
        <w:widowControl/>
      </w:pPr>
      <w:r>
        <w:rPr>
          <w:rFonts w:ascii="Times New Roman" w:hAnsi="Times New Roman"/>
          <w:color w:val="000000"/>
        </w:rPr>
        <w:t>11. Unterzeichnung</w:t>
      </w:r>
    </w:p>
    <w:p>
      <w:pPr>
        <w:widowControl/>
        <w:jc w:val="left"/>
      </w:pPr>
      <w:r>
        <w:rPr>
          <w:color w:val="000000"/>
        </w:rPr>
        <w:t>Ort und Datum: [Ort und Datum der Unterzeichnung]</w:t>
      </w:r>
    </w:p>
    <w:p>
      <w:pPr>
        <w:widowControl/>
        <w:jc w:val="left"/>
      </w:pPr>
      <w:r>
        <w:rPr>
          <w:color w:val="000000"/>
        </w:rPr>
        <w:t>Dr. Lorenz Sattler als Insolvenzverwalter: ____________________</w:t>
      </w:r>
    </w:p>
    <w:p>
      <w:pPr>
        <w:widowControl/>
        <w:jc w:val="left"/>
      </w:pPr>
      <w:r>
        <w:rPr>
          <w:color w:val="000000"/>
        </w:rPr>
        <w:t>Anton Wendel für Isarkruste Backstuben GmbH: ____________________</w:t>
      </w:r>
    </w:p>
    <w:p>
      <w:pPr>
        <w:pStyle w:val="Heading2"/>
        <w:widowControl/>
      </w:pPr>
      <w:r>
        <w:rPr>
          <w:rFonts w:ascii="Times New Roman" w:hAnsi="Times New Roman"/>
          <w:color w:val="000000"/>
        </w:rPr>
        <w:t>12. Anlagenblatt zur gemeinsamen Vervollständigung</w:t>
      </w:r>
    </w:p>
    <w:p>
      <w:pPr>
        <w:widowControl/>
        <w:jc w:val="left"/>
      </w:pPr>
      <w:r>
        <w:rPr>
          <w:color w:val="000000"/>
        </w:rPr>
        <w:t>Anlage 1 enthält nach Abstimmung die übernommenen Inventarnummern [Inventarnummern, Seriennummern und Zubehör] mit einem Preisanteil von [EUR]. Anlage 2 enthält die einzeln vereinbarten Kennzeichen- und Nutzungsrechte [Gegenstände, Rechtekette und Übertragungsmitwirkung] mit einem Preisanteil von [EUR]. Beide Preisanteile ergeben den Festpreis von [EUR].</w:t>
      </w:r>
    </w:p>
    <w:p>
      <w:pPr>
        <w:widowControl/>
        <w:jc w:val="left"/>
      </w:pPr>
      <w:r>
        <w:rPr>
          <w:color w:val="000000"/>
        </w:rPr>
        <w:t>Anlage 3 enthält die unterzeichnete Warenzählung und die vereinbarten Einzelpreise. Anlage 4 enthält [Verträge und schriftliche Zustimmungen]. Anlage 5 enthält die geschützt geführten Personalangaben und die abgestimmte Unterrichtung. Anlage 6 enthält das Übergabeprotokoll und die Nachweise der Vollzugsvoraussetzungen. Die Arbeitsmappe 25 ist keine bereits unterzeichnete Kaufgegenstandsliste.</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sz w:val="18"/>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sz w:val="18"/>
      </w:rPr>
      <w:t>PK-26-071 | Backhof 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59"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heme="majorHAnsi" w:eastAsiaTheme="majorEastAsia" w:hAnsiTheme="majorHAnsi" w:cstheme="majorBidi"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Klotzkette</dc:creator>
  <cp:keywords/>
  <dc:description>generated by python-docx</dc:description>
  <cp:lastModifiedBy>Klotzkette</cp:lastModifiedBy>
  <cp:revision>1</cp:revision>
  <dcterms:created xsi:type="dcterms:W3CDTF">2013-12-23T23:15:00Z</dcterms:created>
  <dcterms:modified xsi:type="dcterms:W3CDTF">2013-12-23T23:15:00Z</dcterms:modified>
  <cp:category/>
</cp:coreProperties>
</file>