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Vorplanung, Variantenuntersuchung und Kostenschätzung - Leistungsphase 2</w:t>
      </w:r>
    </w:p>
    <w:p>
      <w:pPr>
        <w:jc w:val="left"/>
      </w:pPr>
      <w:r>
        <w:t>Atelier Westarp und Partner mbB, Architektinnen und Architekten</w:t>
      </w:r>
    </w:p>
    <w:p>
      <w:pPr>
        <w:jc w:val="left"/>
      </w:pPr>
      <w:r>
        <w:t>Gontardstraße 14, 10178 Berlin</w:t>
      </w:r>
    </w:p>
    <w:p>
      <w:pPr>
        <w:jc w:val="left"/>
      </w:pPr>
      <w:r>
        <w:t>Projekt: Neubau Kindertagesstätte Mühlenhof, Barnetstraße 22, 12305 Berlin-Lichtenrade</w:t>
      </w:r>
    </w:p>
    <w:p>
      <w:pPr>
        <w:jc w:val="left"/>
      </w:pPr>
      <w:r>
        <w:t>Vorplanungsbericht, Stand 12.03.2026</w:t>
      </w:r>
    </w:p>
    <w:p>
      <w:pPr>
        <w:pStyle w:val="Heading2"/>
      </w:pPr>
      <w:r>
        <w:rPr>
          <w:rFonts w:ascii="Times New Roman" w:hAnsi="Times New Roman"/>
        </w:rPr>
        <w:t>1 Gegenstand und Grundlagen</w:t>
      </w:r>
    </w:p>
    <w:p>
      <w:pPr>
        <w:jc w:val="left"/>
      </w:pPr>
      <w:r>
        <w:t>Dieser Bericht dokumentiert die Vorplanung nach § 34 HOAI 2021 in Verbindung mit Anlage 10 (Leistungsphase 2). Er umfasst die Untersuchung von drei Varianten, deren Bewertung anhand von Pädagogik, Wirtschaftlichkeit und Genehmigungsfähigkeit sowie die zugehörige Kostenschätzung nach DIN 276.</w:t>
      </w:r>
    </w:p>
    <w:p>
      <w:pPr>
        <w:jc w:val="left"/>
      </w:pPr>
      <w:r>
        <w:t>Grundlage sind die Ergebnisse der Grundlagenermittlung (Datei 02), die Beiträge des Ingenieurbüros Kalthoff (technische Gebäudeausrüstung) und der Birkhahn Statik GmbH (Tragwerk).</w:t>
      </w:r>
    </w:p>
    <w:p>
      <w:pPr>
        <w:pStyle w:val="Heading2"/>
      </w:pPr>
      <w:r>
        <w:rPr>
          <w:rFonts w:ascii="Times New Roman" w:hAnsi="Times New Roman"/>
        </w:rPr>
        <w:t>2 Untersuchte Varianten</w:t>
      </w:r>
    </w:p>
    <w:p>
      <w:pPr>
        <w:pStyle w:val="Heading3"/>
      </w:pPr>
      <w:r>
        <w:rPr>
          <w:rFonts w:ascii="Times New Roman" w:hAnsi="Times New Roman"/>
        </w:rPr>
        <w:t>2.1 Variante A - kompakter Baukörper</w:t>
      </w:r>
    </w:p>
    <w:p>
      <w:pPr>
        <w:jc w:val="left"/>
      </w:pPr>
      <w:r>
        <w:t>Die Variante A sieht einen kompakten Baukörper mit innenliegender Küche vor. Sie ist wirtschaftlich am günstigsten und weist die geringsten Erschließungsflächen auf. Nachteilig ist der schlechtere Tageslichtbezug der Gruppenräume und der Küche.</w:t>
      </w:r>
    </w:p>
    <w:p>
      <w:pPr>
        <w:pStyle w:val="Heading3"/>
      </w:pPr>
      <w:r>
        <w:rPr>
          <w:rFonts w:ascii="Times New Roman" w:hAnsi="Times New Roman"/>
        </w:rPr>
        <w:t>2.2 Variante B - Hofriegel</w:t>
      </w:r>
    </w:p>
    <w:p>
      <w:pPr>
        <w:jc w:val="left"/>
      </w:pPr>
      <w:r>
        <w:t>Die Variante B ordnet den Bewegungsraum als Hofriegel zum Garten an. Sie bietet den besten pädagogischen und funktionalen Wert und den günstigsten Tageslichtbezug. Gegenüber der Variante A entstehen Mehrkosten von rund 410.000 EUR, im Wesentlichen durch die größere Gebäudehülle und die Dachführung der Küchenabluft.</w:t>
      </w:r>
    </w:p>
    <w:p>
      <w:pPr>
        <w:pStyle w:val="Heading3"/>
      </w:pPr>
      <w:r>
        <w:rPr>
          <w:rFonts w:ascii="Times New Roman" w:hAnsi="Times New Roman"/>
        </w:rPr>
        <w:t>2.3 Variante C - modulare Bauweise</w:t>
      </w:r>
    </w:p>
    <w:p>
      <w:pPr>
        <w:jc w:val="left"/>
      </w:pPr>
      <w:r>
        <w:t>Die Variante C beruht auf einer modularen Bauweise mit kurzer Bauzeit. Sie ist terminlich vorteilhaft, jedoch hält der Fördermittelgeber die Förderfähigkeit modularer Bauweisen für unsicher, sodass ein Förderausfallrisiko besteht.</w:t>
      </w:r>
    </w:p>
    <w:p>
      <w:pPr>
        <w:pStyle w:val="Heading2"/>
      </w:pPr>
      <w:r>
        <w:rPr>
          <w:rFonts w:ascii="Times New Roman" w:hAnsi="Times New Roman"/>
        </w:rPr>
        <w:t>3 Bewertung und Empfehlung</w:t>
      </w:r>
    </w:p>
    <w:p>
      <w:pPr>
        <w:jc w:val="left"/>
      </w:pPr>
      <w:r>
        <w:t>Die Auftragnehmerin empfiehlt die Variante B. Sie erfüllt das pädagogische Konzept am besten und ist genehmigungsrechtlich gut vertretbar. Die Mehrkosten gegenüber der Variante A sind aus fachlicher Sicht durch den funktionalen Gewinn gerechtfertigt, stehen jedoch unter dem Vorbehalt der Kostenobergrenze.</w:t>
      </w:r>
    </w:p>
    <w:p>
      <w:pPr>
        <w:pStyle w:val="Heading2"/>
      </w:pPr>
      <w:r>
        <w:rPr>
          <w:rFonts w:ascii="Times New Roman" w:hAnsi="Times New Roman"/>
        </w:rPr>
        <w:t>4 Kostenschätzung nach DIN 276 (Leistungsphase 2)</w:t>
      </w:r>
    </w:p>
    <w:p>
      <w:pPr>
        <w:jc w:val="left"/>
      </w:pPr>
      <w:r>
        <w:t>Die Kostenschätzung für die empfohlene Variante B stellt sich wie folgt dar (Beträge netto in EUR):</w:t>
      </w:r>
    </w:p>
    <w:p>
      <w:pPr>
        <w:jc w:val="left"/>
      </w:pPr>
      <w:r>
        <w:t>4.1 Kostengruppe 300 (Bauwerk - Baukonstruktion): 2.450.000 EUR.</w:t>
      </w:r>
    </w:p>
    <w:p>
      <w:pPr>
        <w:jc w:val="left"/>
      </w:pPr>
      <w:r>
        <w:t>4.2 Kostengruppe 400 (Bauwerk - Technische Anlagen): 820.000 EUR.</w:t>
      </w:r>
    </w:p>
    <w:p>
      <w:pPr>
        <w:jc w:val="left"/>
      </w:pPr>
      <w:r>
        <w:t>4.3 Kostengruppe 500 (Außenanlagen): 430.000 EUR.</w:t>
      </w:r>
    </w:p>
    <w:p>
      <w:pPr>
        <w:jc w:val="left"/>
      </w:pPr>
      <w:r>
        <w:t>4.4 Kostengruppe 700 (Baunebenkosten): 690.000 EUR.</w:t>
      </w:r>
    </w:p>
    <w:p>
      <w:pPr>
        <w:jc w:val="left"/>
      </w:pPr>
      <w:r>
        <w:t>4.5 Summe der Kostenschätzung: 4.390.000 EUR.</w:t>
      </w:r>
    </w:p>
    <w:p>
      <w:pPr>
        <w:jc w:val="left"/>
      </w:pPr>
      <w:r>
        <w:t>Die Kostenschätzung liegt damit unterhalb der förderrechtlichen Kostenobergrenze von 4.500.000 EUR, allerdings ohne nennenswerten Puffer. Die Fortschreibung in der Kostenberechnung ist in Datei 04 dokumentiert.</w:t>
      </w:r>
    </w:p>
    <w:p>
      <w:pPr>
        <w:pStyle w:val="Heading2"/>
      </w:pPr>
      <w:r>
        <w:rPr>
          <w:rFonts w:ascii="Times New Roman" w:hAnsi="Times New Roman"/>
        </w:rPr>
        <w:t>5 Politische Freigabe</w:t>
      </w:r>
    </w:p>
    <w:p>
      <w:pPr>
        <w:jc w:val="left"/>
      </w:pPr>
      <w:r>
        <w:t>Der zuständige Bezirksausschuss hat die Variante B in seiner Sitzung am 09.03.2026 im Grundsatz freigegeben. Die Freigabe bezieht sich ausdrücklich nur auf die Kostenschätzung. Eine verbindliche Freigabe der Kostenberechnung oder eine förmliche Anpassung der Kostenobergrenze ist damit nicht verbunden.</w:t>
      </w:r>
    </w:p>
    <w:p>
      <w:pPr>
        <w:pStyle w:val="Heading2"/>
      </w:pPr>
      <w:r>
        <w:rPr>
          <w:rFonts w:ascii="Times New Roman" w:hAnsi="Times New Roman"/>
        </w:rPr>
        <w:t>6 Offene fachliche Punkte</w:t>
      </w:r>
    </w:p>
    <w:p>
      <w:pPr>
        <w:pStyle w:val="Heading3"/>
      </w:pPr>
      <w:r>
        <w:rPr>
          <w:rFonts w:ascii="Times New Roman" w:hAnsi="Times New Roman"/>
        </w:rPr>
        <w:t>6.1 Küchenabluft</w:t>
      </w:r>
    </w:p>
    <w:p>
      <w:pPr>
        <w:jc w:val="left"/>
      </w:pPr>
      <w:r>
        <w:t>Das Ingenieurbüro Kalthoff weist darauf hin, dass die Quartiersküche bei der Variante B eine Dachführung der Abluft erfordert. Die Trassenführung ist mit dem Tragwerk abzustimmen, da sie mit einem Unterzug kollidieren kann.</w:t>
      </w:r>
    </w:p>
    <w:p>
      <w:pPr>
        <w:pStyle w:val="Heading3"/>
      </w:pPr>
      <w:r>
        <w:rPr>
          <w:rFonts w:ascii="Times New Roman" w:hAnsi="Times New Roman"/>
        </w:rPr>
        <w:t>6.2 Gründung</w:t>
      </w:r>
    </w:p>
    <w:p>
      <w:pPr>
        <w:jc w:val="left"/>
      </w:pPr>
      <w:r>
        <w:t>Die Birkhahn Statik GmbH sieht die Gründung wegen der mündlich berichteten alten Auffüllung im nordöstlichen Grundstücksbereich als offen an. Ein Baugrundgutachten ist zwingend erforderlich, bevor die Tragwerksplanung verbindlich fortgeführt werden kann.</w:t>
      </w:r>
    </w:p>
    <w:p>
      <w:pPr>
        <w:pStyle w:val="Heading2"/>
      </w:pPr>
      <w:r>
        <w:rPr>
          <w:rFonts w:ascii="Times New Roman" w:hAnsi="Times New Roman"/>
        </w:rPr>
        <w:t>7 Offene Frage zur Leistungsabgrenzung</w:t>
      </w:r>
    </w:p>
    <w:p>
      <w:pPr>
        <w:jc w:val="left"/>
      </w:pPr>
      <w:r>
        <w:t>Zwischen den Beteiligten ist bereits in dieser Phase streitig, ob die Mengenermittlung für die technische Gebäudeausrüstung, die später als Grundlage des Leistungsverzeichnisses dient, zum vergüteten Grundleistungsumfang gehört oder als Besondere Leistung gesondert abzurechnen ist. Das Ermitteln und Zusammenstellen von Mengen als Grundlage der Leistungsverzeichnisse ist nach dem Leistungsbild der Anlage 10 zur HOAI der Leistungsphase 6 zugeordnete Grundleistung. Diese Einordnung ist festzuhalten und im weiteren Verlauf zu beachten.</w:t>
      </w:r>
    </w:p>
    <w:p>
      <w:pPr>
        <w:pStyle w:val="Heading2"/>
      </w:pPr>
      <w:r>
        <w:rPr>
          <w:rFonts w:ascii="Times New Roman" w:hAnsi="Times New Roman"/>
        </w:rPr>
        <w:t>8 Nächste Schritte</w:t>
      </w:r>
    </w:p>
    <w:p>
      <w:pPr>
        <w:jc w:val="left"/>
      </w:pPr>
      <w:r>
        <w:t>8.1 Beauftragung des Baugrundgutachtens.</w:t>
      </w:r>
    </w:p>
    <w:p>
      <w:pPr>
        <w:jc w:val="left"/>
      </w:pPr>
      <w:r>
        <w:t>8.2 Abstimmung der Abluftführung zwischen Kalthoff und Birkhahn Statik.</w:t>
      </w:r>
    </w:p>
    <w:p>
      <w:pPr>
        <w:jc w:val="left"/>
      </w:pPr>
      <w:r>
        <w:t>8.3 Überführung der Vorplanung in die Entwurfsplanung mit belastbarer Kostenberechnung.</w:t>
      </w:r>
    </w:p>
    <w:p>
      <w:pPr>
        <w:jc w:val="left"/>
      </w:pPr>
      <w:r>
        <w:t>Berlin, den 12.03.2026</w:t>
      </w:r>
    </w:p>
    <w:p>
      <w:pPr>
        <w:jc w:val="left"/>
      </w:pPr>
      <w:r>
        <w:t>gez. Katrin Westarp</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Atelier Westarp und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ATELIER WESTARP UND PARTNER MBB</w:t>
    </w:r>
  </w:p>
  <w:p>
    <w:pPr>
      <w:jc w:val="left"/>
      <w:pBdr>
        <w:bottom w:val="single" w:sz="8" w:space="2" w:color="11555F"/>
      </w:pBdr>
    </w:pPr>
    <w:r>
      <w:rPr>
        <w:rFonts w:ascii="Times New Roman" w:hAnsi="Times New Roman"/>
        <w:color w:val="6B6B66"/>
        <w:sz w:val="16"/>
      </w:rPr>
      <w:t>Architektinnen und Architekten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