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Ausführungsplanung und Planindex - Leistungsphase 5</w:t>
      </w:r>
    </w:p>
    <w:p>
      <w:pPr>
        <w:jc w:val="left"/>
      </w:pPr>
      <w:r>
        <w:t>Atelier Westarp und Partner mbB, Architektinnen und Architekten</w:t>
      </w:r>
    </w:p>
    <w:p>
      <w:pPr>
        <w:jc w:val="left"/>
      </w:pPr>
      <w:r>
        <w:t>Gontardstraße 14, 10178 Berlin</w:t>
      </w:r>
    </w:p>
    <w:p>
      <w:pPr>
        <w:jc w:val="left"/>
      </w:pPr>
      <w:r>
        <w:t>Projekt: Neubau Kindertagesstätte Mühlenhof, Barnetstraße 22, 12305 Berlin-Lichtenrade</w:t>
      </w:r>
    </w:p>
    <w:p>
      <w:pPr>
        <w:jc w:val="left"/>
      </w:pPr>
      <w:r>
        <w:t>Planstands- und Freigabevermerk, Stand 04.05.2026</w:t>
      </w:r>
    </w:p>
    <w:p>
      <w:pPr>
        <w:pStyle w:val="Heading2"/>
      </w:pPr>
      <w:r>
        <w:rPr>
          <w:rFonts w:ascii="Times New Roman" w:hAnsi="Times New Roman"/>
        </w:rPr>
        <w:t>1 Zweck des Vermerks</w:t>
      </w:r>
    </w:p>
    <w:p>
      <w:pPr>
        <w:jc w:val="left"/>
      </w:pPr>
      <w:r>
        <w:t>Dieser Vermerk dokumentiert den Stand der Ausführungsplanung nach § 34 HOAI 2021 in Verbindung mit Anlage 10 (Leistungsphase 5). Er hält den verbindlichen Planindex, die offenen Schnittstellen zur technischen Gebäudeausrüstung und zum Tragwerk sowie den Freigabestand fest. Der vereinbarte Fertigstellungstermin für die Ausführungsplanung war der 30.04.2026.</w:t>
      </w:r>
    </w:p>
    <w:p>
      <w:pPr>
        <w:pStyle w:val="Heading2"/>
      </w:pPr>
      <w:r>
        <w:rPr>
          <w:rFonts w:ascii="Times New Roman" w:hAnsi="Times New Roman"/>
        </w:rPr>
        <w:t>2 Planstand und Index</w:t>
      </w:r>
    </w:p>
    <w:p>
      <w:pPr>
        <w:pStyle w:val="Heading3"/>
      </w:pPr>
      <w:r>
        <w:rPr>
          <w:rFonts w:ascii="Times New Roman" w:hAnsi="Times New Roman"/>
        </w:rPr>
        <w:t>2.1 Verbindlicher Planstand</w:t>
      </w:r>
    </w:p>
    <w:p>
      <w:pPr>
        <w:jc w:val="left"/>
      </w:pPr>
      <w:r>
        <w:t>Der Planstand zum Stichtag ist wie folgt:</w:t>
      </w:r>
    </w:p>
    <w:p>
      <w:pPr>
        <w:jc w:val="left"/>
      </w:pPr>
      <w:r>
        <w:t>2.1.1 Grundrisse A-501, Index C.</w:t>
      </w:r>
    </w:p>
    <w:p>
      <w:pPr>
        <w:jc w:val="left"/>
      </w:pPr>
      <w:r>
        <w:t>2.1.2 Fassaden A-602, Index B.</w:t>
      </w:r>
    </w:p>
    <w:p>
      <w:pPr>
        <w:jc w:val="left"/>
      </w:pPr>
      <w:r>
        <w:t>2.1.3 Lüftung technische Gebäudeausrüstung TGA-L-214, Index A.</w:t>
      </w:r>
    </w:p>
    <w:p>
      <w:pPr>
        <w:jc w:val="left"/>
      </w:pPr>
      <w:r>
        <w:t>2.1.4 Tragwerk T-301, Index B.</w:t>
      </w:r>
    </w:p>
    <w:p>
      <w:pPr>
        <w:pStyle w:val="Heading3"/>
      </w:pPr>
      <w:r>
        <w:rPr>
          <w:rFonts w:ascii="Times New Roman" w:hAnsi="Times New Roman"/>
        </w:rPr>
        <w:t>2.2 Versionierungsproblem</w:t>
      </w:r>
    </w:p>
    <w:p>
      <w:pPr>
        <w:jc w:val="left"/>
      </w:pPr>
      <w:r>
        <w:t>In der digitalen Baustellenablage liegen für einzelne Bauteile noch Pläne im Index A vor, die durch spätere Indizes überholt sind. Es besteht die Gefahr, dass auf der Baustelle nach überholten Plänen gebaut wird. Der jeweils gültige Index ist verbindlich zu kennzeichnen und die Ablage zu bereinigen.</w:t>
      </w:r>
    </w:p>
    <w:p>
      <w:pPr>
        <w:pStyle w:val="Heading2"/>
      </w:pPr>
      <w:r>
        <w:rPr>
          <w:rFonts w:ascii="Times New Roman" w:hAnsi="Times New Roman"/>
        </w:rPr>
        <w:t>3 Schnittstellen und Konflikte</w:t>
      </w:r>
    </w:p>
    <w:p>
      <w:pPr>
        <w:pStyle w:val="Heading3"/>
      </w:pPr>
      <w:r>
        <w:rPr>
          <w:rFonts w:ascii="Times New Roman" w:hAnsi="Times New Roman"/>
        </w:rPr>
        <w:t>3.1 Kollision Lüftung und Tragwerk</w:t>
      </w:r>
    </w:p>
    <w:p>
      <w:pPr>
        <w:jc w:val="left"/>
      </w:pPr>
      <w:r>
        <w:t>Die Küchenabluft der Quartiersküche wird nach dem Plan TGA-L-214 an einer Stelle geführt, an der das Tragwerk nach Plan T-301 einen Unterzug vorsieht. Der Konflikt ist planerisch noch nicht aufgelöst. Eine abgestimmte Lösung zwischen dem Ingenieurbüro Kalthoff und der Birkhahn Statik GmbH steht aus.</w:t>
      </w:r>
    </w:p>
    <w:p>
      <w:pPr>
        <w:pStyle w:val="Heading3"/>
      </w:pPr>
      <w:r>
        <w:rPr>
          <w:rFonts w:ascii="Times New Roman" w:hAnsi="Times New Roman"/>
        </w:rPr>
        <w:t>3.2 Brandschutz Elterncafé</w:t>
      </w:r>
    </w:p>
    <w:p>
      <w:pPr>
        <w:jc w:val="left"/>
      </w:pPr>
      <w:r>
        <w:t>Die Nutzung des Elterncafés außerhalb der Betreuungszeiten der Kindertagesstätte ist im Brandschutznachweis noch nicht abschließend eingearbeitet. Die hierfür erforderlichen Rettungswege- und Nutzungsangaben sind mit dem Brandschutzsachverständigen abzustimmen.</w:t>
      </w:r>
    </w:p>
    <w:p>
      <w:pPr>
        <w:pStyle w:val="Heading2"/>
      </w:pPr>
      <w:r>
        <w:rPr>
          <w:rFonts w:ascii="Times New Roman" w:hAnsi="Times New Roman"/>
        </w:rPr>
        <w:t>4 Freigabestand</w:t>
      </w:r>
    </w:p>
    <w:p>
      <w:pPr>
        <w:jc w:val="left"/>
      </w:pPr>
      <w:r>
        <w:t>Die Auftraggeberin hat den Grundriss im Index C per E-Mail mit den Worten "sieht gut aus" kommentiert. Eine förmliche Planfreigabe mit ausdrücklicher Feststellung der Kostenfolge liegt nicht vor. Eine bloß wohlwollende Kommentierung ersetzt die Freigabeentscheidung nicht.</w:t>
      </w:r>
    </w:p>
    <w:p>
      <w:pPr>
        <w:pStyle w:val="Heading2"/>
      </w:pPr>
      <w:r>
        <w:rPr>
          <w:rFonts w:ascii="Times New Roman" w:hAnsi="Times New Roman"/>
        </w:rPr>
        <w:t>5 Risiko</w:t>
      </w:r>
    </w:p>
    <w:p>
      <w:pPr>
        <w:jc w:val="left"/>
      </w:pPr>
      <w:r>
        <w:t>Die Ausführungsplanung wird unter Termindruck in die Vergabe überführt, obwohl die Genehmigungsauflagen des Bezirksamts (siehe Datei 05) noch nicht vollständig in die Planung zurückgespiegelt sind und die Schnittstellenkonflikte nach Ziffer 3 fortbestehen. Es besteht die Gefahr, dass Planungslücken erst auf der Baustelle als Behinderung und Nachtrag sichtbar werden.</w:t>
      </w:r>
    </w:p>
    <w:p>
      <w:pPr>
        <w:pStyle w:val="Heading2"/>
      </w:pPr>
      <w:r>
        <w:rPr>
          <w:rFonts w:ascii="Times New Roman" w:hAnsi="Times New Roman"/>
        </w:rPr>
        <w:t>6 Offene Frage zur Leistungsabgrenzung</w:t>
      </w:r>
    </w:p>
    <w:p>
      <w:pPr>
        <w:jc w:val="left"/>
      </w:pPr>
      <w:r>
        <w:t>Die Koordination und Integration der Fachplanungen, insbesondere die Zusammenführung der Beiträge von technischer Gebäudeausrüstung, Tragwerk und Brandschutz in eine widerspruchsfreie Ausführungsplanung, ist Grundleistung der Leistungsphase 5 nach Anlage 10 zur HOAI. Ein zusätzliches Honorar löst diese Koordinationsleistung nicht aus. Gesondert vergütungsfähig wäre allein die eigenständige Erstellung einer Fachplanung, die nicht zum Leistungsbild der Objektplanung gehört.</w:t>
      </w:r>
    </w:p>
    <w:p>
      <w:pPr>
        <w:pStyle w:val="Heading2"/>
      </w:pPr>
      <w:r>
        <w:rPr>
          <w:rFonts w:ascii="Times New Roman" w:hAnsi="Times New Roman"/>
        </w:rPr>
        <w:t>7 Nächste Schritte</w:t>
      </w:r>
    </w:p>
    <w:p>
      <w:pPr>
        <w:jc w:val="left"/>
      </w:pPr>
      <w:r>
        <w:t>7.1 Auflösung der Kollision Lüftung und Unterzug binnen einer Woche.</w:t>
      </w:r>
    </w:p>
    <w:p>
      <w:pPr>
        <w:jc w:val="left"/>
      </w:pPr>
      <w:r>
        <w:t>7.2 Einarbeitung der Brandschutzvorgaben für das Elterncafé.</w:t>
      </w:r>
    </w:p>
    <w:p>
      <w:pPr>
        <w:jc w:val="left"/>
      </w:pPr>
      <w:r>
        <w:t>7.3 Herbeiführung einer förmlichen Planfreigabe mit Kostenfolge durch die Auftraggeberin.</w:t>
      </w:r>
    </w:p>
    <w:p>
      <w:pPr>
        <w:jc w:val="left"/>
      </w:pPr>
      <w:r>
        <w:t>7.4 Bereinigung der Baustellenablage auf den jeweils gültigen Index.</w:t>
      </w:r>
    </w:p>
    <w:p>
      <w:pPr>
        <w:jc w:val="left"/>
      </w:pPr>
      <w:r>
        <w:t>Berlin, den 04.05.2026</w:t>
      </w:r>
    </w:p>
    <w:p>
      <w:pPr>
        <w:jc w:val="left"/>
      </w:pPr>
      <w:r>
        <w:t>gez. Jonas Reinke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Atelier Westarp und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ATELIER WESTARP UND PARTNER MBB</w:t>
    </w:r>
  </w:p>
  <w:p>
    <w:pPr>
      <w:jc w:val="left"/>
      <w:pBdr>
        <w:bottom w:val="single" w:sz="8" w:space="2" w:color="11555F"/>
      </w:pBdr>
    </w:pPr>
    <w:r>
      <w:rPr>
        <w:rFonts w:ascii="Times New Roman" w:hAnsi="Times New Roman"/>
        <w:color w:val="6B6B66"/>
        <w:sz w:val="16"/>
      </w:rPr>
      <w:t>Architektinnen und Architekten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