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Wittfeldt-Steinheim Strafverteidigung</w:t>
      </w:r>
    </w:p>
    <w:p>
      <w:pPr>
        <w:jc w:val="left"/>
      </w:pPr>
      <w:r>
        <w:t>Bockenheimer Anlage 18, 60322 Frankfurt am Main</w:t>
      </w:r>
    </w:p>
    <w:p>
      <w:pPr>
        <w:jc w:val="left"/>
      </w:pPr>
      <w:r>
        <w:t>Kanzleiaktenzeichen: WS-2026-STR-0414</w:t>
      </w:r>
    </w:p>
    <w:p>
      <w:pPr>
        <w:jc w:val="left"/>
      </w:pPr>
      <w:r>
        <w:t>Gerichtsaktenzeichen: LG Frankfurt 5-22 KLs 188/26</w:t>
      </w:r>
    </w:p>
    <w:p>
      <w:pPr>
        <w:jc w:val="left"/>
      </w:pPr>
      <w:r>
        <w:t>Datum: 13. Februar 2026</w:t>
      </w:r>
    </w:p>
    <w:p>
      <w:pPr>
        <w:jc w:val="left"/>
      </w:pPr>
      <w:r>
        <w:t>Gesprächsbeginn: 10:16 Uhr</w:t>
      </w:r>
    </w:p>
    <w:p>
      <w:pPr>
        <w:jc w:val="left"/>
      </w:pPr>
      <w:r>
        <w:t>Gesprächsende: 10:31 Uhr</w:t>
      </w:r>
    </w:p>
    <w:p>
      <w:pPr>
        <w:jc w:val="left"/>
      </w:pPr>
      <w:r>
        <w:t>Gesprächspartner: Markus Schmitt, Müller &amp; Schmitt Treuhand GmbH</w:t>
      </w:r>
    </w:p>
    <w:p>
      <w:pPr>
        <w:jc w:val="left"/>
      </w:pPr>
      <w:r>
        <w:t>Gespräch geführt und vermerkt von Prof. Dr. Henrike Wittfeldt-Steinheim</w:t>
      </w:r>
    </w:p>
    <w:p>
      <w:pPr>
        <w:jc w:val="left"/>
      </w:pPr>
      <w:r>
        <w:t>Herr Schmitt rief nach Rückvermittlung durch den Empfang der Müller &amp; Schmitt Treuhand GmbH zurück. Er bezog sich auf die Anfrage der Kanzlei nach einer lesbaren Ausfertigung seines Schreibens vom 18. Januar 2025. Das Original befinde sich nicht bei ihm im Büro, sondern in der abgeschlossenen Vorgangsablage der Gesellschaft. Er könne noch am selben Nachmittag eine eingescannte, von ihm unterschriebene Ausfertigung über das zentrale Postfach der Gesellschaft übersenden.</w:t>
      </w:r>
    </w:p>
    <w:p>
      <w:pPr>
        <w:jc w:val="left"/>
      </w:pPr>
      <w:r>
        <w:t>Auf Nachfrage bestätigte Herr Schmitt, dass der in dem Schreiben genannte Zahlungseingang 4200000 EUR betrage. Die Buchung sei am 15. Januar 2025 bei der Gesellschaft erfasst worden. Er las den Betrag zweimal aus dem Buchungsausdruck vor und buchstabierte den Namen Bankert, weil auf der ersten telefonisch übermittelten Notiz der Kanzlei „Bankhardt“ gestanden habe. Eine Aufteilung auf einzelne der elf betroffenen Klienten werde er am Telefon nicht vornehmen. Diese Aufstellung werde bei der Gesellschaft gesondert geführt und sei umfangreicher als das Bestätigungsschreiben.</w:t>
      </w:r>
    </w:p>
    <w:p>
      <w:pPr>
        <w:jc w:val="left"/>
      </w:pPr>
      <w:r>
        <w:t>Herr Schmitt sagte, das Schreiben vom 18. Januar 2025 enthalte nur die Bestätigung des Zahlungseingangs und die Zuordnung zum Vorgang Konrad Bankert. Weitere Erklärungen seien darin nicht abgegeben worden. Er bat darum, bei einer späteren Anforderung ausdrücklich zwischen dem Bestätigungsschreiben und den internen Buchungslisten zu unterscheiden. Die internen Listen könne er ohne vorherige Abstimmung mit der Rechtsabteilung nicht versenden.</w:t>
      </w:r>
    </w:p>
    <w:p>
      <w:pPr>
        <w:jc w:val="left"/>
      </w:pPr>
      <w:r>
        <w:t>Auf die Frage, ob eine beglaubigte Abschrift benötigt werde, teilte ich mit, dass zunächst der farbige Scan der unterschriebenen Ausfertigung genüge. Herr Schmitt kündigte an, die erste Seite und die Unterschriftsseite gemeinsam als eine Datei zu schicken. Er wollte vor dem Versand noch prüfen lassen, ob auf der Rückseite ein Postausgangsstempel angebracht sei. Für Rückfragen verwies er auf die Geschäftsanschrift Neue Mainzer Straße 74, 60311 Frankfurt am Main.</w:t>
      </w:r>
    </w:p>
    <w:p>
      <w:pPr>
        <w:jc w:val="left"/>
      </w:pPr>
      <w:r>
        <w:t>Nach Gesprächsende wurde die falsche Schreibweise im handschriftlichen Rückrufzettel gestrichen und mit „Konrad Bankert“ berichtigt. Der Rückrufzettel blieb in der Papierakte hinter dem Register „Schadenswiedergutmachung“ abgelegt. Um 16:42 Uhr war im Kanzleipostfach noch kein Eingang der angekündigten Nachricht vermerkt.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Gerichtsaktenzeichen: LG Frankfurt 5-22 KLs 188/26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Gerichtsaktenzeichen: LG Frankfurt 5-22 KLs 188/26</w:t>
    </w:r>
  </w:p>
  <w:p>
    <w:pPr>
      <w:jc w:val="left"/>
      <w:pBdr>
        <w:bottom w:val="single" w:sz="6" w:space="2" w:color="3B3F45"/>
      </w:pBdr>
    </w:pPr>
    <w:r>
      <w:rPr>
        <w:rFonts w:ascii="Times New Roman" w:hAnsi="Times New Roman"/>
        <w:color w:val="6B6B66"/>
        <w:sz w:val="16"/>
      </w:rPr>
      <w:t>Gericht · aktenzeichen: WS-2026-STR-0414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