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Prüfauftrag zur geplanten Logistiksoftware</w:t>
      </w:r>
    </w:p>
    <w:p>
      <w:r>
        <w:t>Eichengrund Logistik GmbH</w:t>
        <w:br/>
        <w:t>Berthold Reitzenstein</w:t>
        <w:br/>
        <w:t>Aktenstand 9. Oktober 2026</w:t>
      </w:r>
    </w:p>
    <w:p>
      <w:r>
        <w:t>An Rechtsanwältin Dr. Salome Fritsch</w:t>
        <w:br/>
        <w:t>Kanzlei Fritsch und Partner, Lindenhof 8, 99084 Erfurt</w:t>
      </w:r>
    </w:p>
    <w:p>
      <w:pPr>
        <w:pStyle w:val="Heading1"/>
      </w:pPr>
      <w:r>
        <w:t>1 Anlass und konkrete Anwendungen</w:t>
      </w:r>
    </w:p>
    <w:p>
      <w:r>
        <w:t>Sehr geehrte Frau Dr. Fritsch, wir planen eine neue Software für unser Umschlaglager und benötigen einen begründeten Konformitätsvermerk. Unser Einkauf hat bislang ein Gesamtangebot für alle intelligenten Module betrachtet. Nach der technischen Besprechung halten wir diese Darstellung für zu ungenau. Die drei Anwendungen sollen nach ihrer tatsächlichen Funktion, ihrem Anbieter und der konkreten Version getrennt beurteilt werden. Ein gemeinsames Vertriebsblatt darf diese Unterschiede nicht verdecken.</w:t>
      </w:r>
    </w:p>
    <w:p>
      <w:r>
        <w:t>Die Anwendung Taktweg 2.4 berechnet Fahrten und Dockbelegung anhand von Sendungsmaßen, Lieferfenstern und Staplerkapazität. Die Option Teamstern 0.9 bewertet dagegen Beschäftigte für Schichtvorschläge. Das gesonderte Projekt Wächterkern S1 soll später in einem autonomen Lagerroboter die Freigabe oder Unterbrechung einer Bewegung beeinflussen. Die letzte Funktion stammt von einer anderen Gesellschaft und ist noch nicht in unseren Betrieb eingebaut. Nähere Angaben stehen in Dokument 02.</w:t>
      </w:r>
    </w:p>
    <w:p>
      <w:pPr>
        <w:pStyle w:val="Heading1"/>
      </w:pPr>
      <w:r>
        <w:t>2 Bestellte Ergebnisse</w:t>
      </w:r>
    </w:p>
    <w:p>
      <w:r>
        <w:t>Bitte erstellen Sie für jede Anwendung eine begründete Entscheidung zum einschlägigen Prüfweg und zum zeitlichen Anwendungsstand. Wir benötigen einen konkreten Nachweisplan, ein ausformuliertes Nachforderungsschreiben an die richtigen Unternehmen und eine korrigierte Leitungsvorlage. Der interne Entwurf in Dokument 06 ist dabei weiterzubearbeiten. Die pauschale Aussage alle KI zertifiziert soll geprüft und gegebenenfalls adressatengerecht berichtigt werden. Veranlassen Sie bitte keine Bestellung einer Zertifizierung allein aufgrund der Bezeichnung Hochrisiko.</w:t>
      </w:r>
    </w:p>
    <w:p>
      <w:r>
        <w:t>Für den Nachtbetrieb fehlen verwertbare Testdaten. Bitte benennen Sie genau, welche Aussage damit offen bleibt und welcher technische Nachtest benötigt wird. Wir erwarten weder eine selbst durchgeführte Penetrationsprüfung noch einen erfundenen Testbericht. Der vorhandene Datensatz und das Protokoll sollen berücksichtigt werden. Eine fehlende Datei darf nicht mit einer bewiesenen Fehlfunktion gleichgesetzt werden; ein beobachteter Fehler darf umgekehrt nicht als bloße Formalie verschwinden.</w:t>
      </w:r>
    </w:p>
    <w:p>
      <w:pPr>
        <w:pStyle w:val="Heading1"/>
      </w:pPr>
      <w:r>
        <w:t>3 Anbieter und Verträge</w:t>
      </w:r>
    </w:p>
    <w:p>
      <w:r>
        <w:t>Taktweg und Teamstern werden uns von der Taktweg Systeme GmbH angeboten. Das übersandte ISO/IEC-42001-Zertifikat nennt jedoch die Taktweg Holding Services GmbH und deren zentrale Beratungsleistungen. Wächterkern stammt von der Eichenrobotik Sicherheitsmodule GmbH. Der Integrator Bewegwerk Anlagenbau GmbH hat noch nicht festgelegt, unter welchem Produktnamen der spätere Roboter in Verkehr gebracht werden soll. Die Vertrags- und Rollenverteilung ist daher ausdrücklich zu prüfen.</w:t>
      </w:r>
    </w:p>
    <w:p>
      <w:pPr>
        <w:pStyle w:val="Heading1"/>
      </w:pPr>
      <w:r>
        <w:t>4 Planungszeitpunkte und Grenzen</w:t>
      </w:r>
    </w:p>
    <w:p>
      <w:r>
        <w:t>Eine Verwendung der Disposition wird für Januar 2027 erwogen; die Personaloption soll frühestens im März 2028 beraten werden. Für den Roboter ist September 2028 als Projektwunsch genannt. Diese Daten sind keine Aussagen über gesetzliche Fristen und noch keine freigegebenen Einsatztermine. Aktuell sind alle Tests vom tatsächlichen Personal- und Roboterbetrieb getrennt. Es gibt keinen Auftrag zum Versand, zur Behördenübermittlung oder zum produktiven Einsatz. Bitte arbeiten Sie bis zur Einkaufsrunde am 19. Oktober die bereits entscheidbaren Teile aus und halten Sie entscheidende Lücken sichtbar.</w:t>
      </w:r>
    </w:p>
    <w:p>
      <w:r>
        <w:t>Mit freundlichen Grüßen</w:t>
        <w:br/>
        <w:t>Berthold Reitzenstein</w:t>
        <w:br/>
        <w:t>Geschäftsführung</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Eichengrund Logistik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zur geplanten Logistiksoftware</dc:title>
  <dc:subject>EL-26-219</dc:subject>
  <dc:creator>Eichengrund Logistik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